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Times New Roman" w:hAnsi="Times New Roman" w:eastAsia="Times New Roman"/>
          <w:b/>
          <w:color w:val="203864"/>
          <w:sz w:val="34"/>
        </w:rPr>
        <w:t>MyGCnow</w:t>
      </w:r>
    </w:p>
    <w:p>
      <w:pPr>
        <w:spacing w:after="20"/>
        <w:jc w:val="center"/>
      </w:pPr>
      <w:r>
        <w:rPr>
          <w:rFonts w:ascii="Times New Roman" w:hAnsi="Times New Roman" w:eastAsia="Times New Roman"/>
          <w:b/>
          <w:color w:val="000000"/>
          <w:sz w:val="29"/>
        </w:rPr>
        <w:t>DESIGN-BUILD PROJECT DEVELOPMENT AGREEMENT</w:t>
      </w:r>
    </w:p>
    <w:p>
      <w:pPr>
        <w:spacing w:after="180"/>
        <w:jc w:val="center"/>
      </w:pPr>
      <w:r>
        <w:rPr>
          <w:rFonts w:ascii="Times New Roman" w:hAnsi="Times New Roman" w:eastAsia="Times New Roman"/>
          <w:b/>
          <w:color w:val="4A4A4A"/>
          <w:sz w:val="21"/>
        </w:rPr>
        <w:t>PHASE 2 - PRECONSTRUCTION AND DESIGN</w:t>
      </w:r>
    </w:p>
    <w:p>
      <w:pPr>
        <w:pStyle w:val="AgreementBody"/>
        <w:spacing w:before="0" w:after="120"/>
        <w:ind w:left="0"/>
      </w:pPr>
      <w:r>
        <w:rPr>
          <w:rFonts w:ascii="Times New Roman" w:hAnsi="Times New Roman" w:eastAsia="Times New Roman"/>
          <w:color w:val="000000"/>
          <w:sz w:val="21"/>
        </w:rPr>
        <w:t xml:space="preserve">This Design-Build Project Development Agreement (the </w:t>
      </w:r>
      <w:r>
        <w:rPr>
          <w:rFonts w:ascii="Times New Roman" w:hAnsi="Times New Roman" w:eastAsia="Times New Roman"/>
          <w:b/>
          <w:color w:val="000000"/>
          <w:sz w:val="21"/>
        </w:rPr>
        <w:t>Agreement</w:t>
      </w:r>
      <w:r>
        <w:rPr>
          <w:rFonts w:ascii="Times New Roman" w:hAnsi="Times New Roman" w:eastAsia="Times New Roman"/>
          <w:color w:val="000000"/>
          <w:sz w:val="21"/>
        </w:rPr>
        <w:t xml:space="preserve">) is effective on the date it is signed by the last party (the </w:t>
      </w:r>
      <w:r>
        <w:rPr>
          <w:rFonts w:ascii="Times New Roman" w:hAnsi="Times New Roman" w:eastAsia="Times New Roman"/>
          <w:b/>
          <w:color w:val="000000"/>
          <w:sz w:val="21"/>
        </w:rPr>
        <w:t>Effective Date</w:t>
      </w:r>
      <w:r>
        <w:rPr>
          <w:rFonts w:ascii="Times New Roman" w:hAnsi="Times New Roman" w:eastAsia="Times New Roman"/>
          <w:color w:val="000000"/>
          <w:sz w:val="21"/>
        </w:rPr>
        <w:t xml:space="preserve">) and is between </w:t>
      </w:r>
      <w:r>
        <w:rPr>
          <w:rFonts w:ascii="Times New Roman" w:hAnsi="Times New Roman" w:eastAsia="Times New Roman"/>
          <w:b/>
          <w:color w:val="000000"/>
          <w:sz w:val="21"/>
        </w:rPr>
        <w:t>MyGCnow Construction</w:t>
      </w:r>
      <w:r>
        <w:rPr>
          <w:rFonts w:ascii="Times New Roman" w:hAnsi="Times New Roman" w:eastAsia="Times New Roman"/>
          <w:color w:val="000000"/>
          <w:sz w:val="21"/>
        </w:rPr>
        <w:t>, a trade name (DBA) of MyGCnow LLC, a Wyoming limited liability company (</w:t>
      </w:r>
      <w:r>
        <w:rPr>
          <w:rFonts w:ascii="Times New Roman" w:hAnsi="Times New Roman" w:eastAsia="Times New Roman"/>
          <w:b/>
          <w:color w:val="000000"/>
          <w:sz w:val="21"/>
        </w:rPr>
        <w:t>Contractor</w:t>
      </w:r>
      <w:r>
        <w:rPr>
          <w:rFonts w:ascii="Times New Roman" w:hAnsi="Times New Roman" w:eastAsia="Times New Roman"/>
          <w:color w:val="000000"/>
          <w:sz w:val="21"/>
        </w:rPr>
        <w:t>), and the client or owner identified in the Project-Specific Terms below (</w:t>
      </w:r>
      <w:r>
        <w:rPr>
          <w:rFonts w:ascii="Times New Roman" w:hAnsi="Times New Roman" w:eastAsia="Times New Roman"/>
          <w:b/>
          <w:color w:val="000000"/>
          <w:sz w:val="21"/>
        </w:rPr>
        <w:t>Client</w:t>
      </w:r>
      <w:r>
        <w:rPr>
          <w:rFonts w:ascii="Times New Roman" w:hAnsi="Times New Roman" w:eastAsia="Times New Roman"/>
          <w:color w:val="000000"/>
          <w:sz w:val="21"/>
        </w:rPr>
        <w:t xml:space="preserve">), concerning the identified residential property (the </w:t>
      </w:r>
      <w:r>
        <w:rPr>
          <w:rFonts w:ascii="Times New Roman" w:hAnsi="Times New Roman" w:eastAsia="Times New Roman"/>
          <w:b/>
          <w:color w:val="000000"/>
          <w:sz w:val="21"/>
        </w:rPr>
        <w:t>Property</w:t>
      </w:r>
      <w:r>
        <w:rPr>
          <w:rFonts w:ascii="Times New Roman" w:hAnsi="Times New Roman" w:eastAsia="Times New Roman"/>
          <w:color w:val="000000"/>
          <w:sz w:val="21"/>
        </w:rPr>
        <w:t>). If more than one person signs as Client, each is jointly and severally responsible for Client's obligations.</w:t>
      </w:r>
    </w:p>
    <w:tbl>
      <w:tblPr>
        <w:tblW w:type="dxa" w:w="10080"/>
        <w:jc w:val="left"/>
        <w:tblLayout w:type="fixed"/>
        <w:tblLook w:firstColumn="1" w:firstRow="1" w:lastColumn="0" w:lastRow="0" w:noHBand="0" w:noVBand="1" w:val="04A0"/>
        <w:tblInd w:type="dxa" w:w="150"/>
      </w:tblPr>
      <w:tblGrid>
        <w:gridCol w:w="10080"/>
      </w:tblGrid>
      <w:tr>
        <w:trPr>
          <w:cantSplit/>
        </w:trPr>
        <w:tc>
          <w:tcPr>
            <w:tcW w:type="dxa" w:w="10080"/>
            <w:shd w:fill="EEF5FA" w:val="clear"/>
            <w:tcBorders>
              <w:top w:val="single" w:sz="10" w:space="0" w:color="203864"/>
              <w:left w:val="single" w:sz="10" w:space="0" w:color="203864"/>
              <w:bottom w:val="single" w:sz="10" w:space="0" w:color="203864"/>
              <w:right w:val="single" w:sz="10" w:space="0" w:color="203864"/>
              <w:insideH w:val="single" w:sz="10" w:space="0" w:color="203864"/>
              <w:insideV w:val="single" w:sz="10" w:space="0" w:color="203864"/>
            </w:tcBorders>
            <w:tcMar>
              <w:top w:w="110" w:type="dxa"/>
              <w:bottom w:w="110" w:type="dxa"/>
              <w:start w:w="150" w:type="dxa"/>
              <w:end w:w="150" w:type="dxa"/>
            </w:tcMar>
          </w:tcPr>
          <w:p>
            <w:pPr>
              <w:spacing w:after="40"/>
            </w:pPr>
            <w:r>
              <w:rPr>
                <w:rFonts w:ascii="Times New Roman" w:hAnsi="Times New Roman" w:eastAsia="Times New Roman"/>
                <w:b/>
                <w:color w:val="203864"/>
                <w:sz w:val="21"/>
              </w:rPr>
              <w:t>IMPORTANT - NO CONSTRUCTION IS AUTHORIZED</w:t>
            </w:r>
          </w:p>
          <w:p>
            <w:pPr>
              <w:pStyle w:val="AgreementBody"/>
              <w:spacing w:after="0"/>
            </w:pPr>
            <w:r>
              <w:rPr>
                <w:rFonts w:ascii="Times New Roman" w:hAnsi="Times New Roman" w:eastAsia="Times New Roman"/>
                <w:b/>
                <w:color w:val="000000"/>
                <w:sz w:val="20"/>
              </w:rPr>
              <w:t>This Agreement covers Phase 2 professional and preconstruction services only. It authorizes only the nonconstruction services expressly included in this Agreement or the Project Summary, including agreed Property visits and field verification. It does not authorize construction, demolition, construction labor, material purchasing or reservation, permit or HOA submission, or intrusive site work; guarantee a construction start date or price; or require either party to enter a construction contract.</w:t>
            </w:r>
          </w:p>
        </w:tc>
      </w:tr>
    </w:tbl>
    <w:p>
      <w:pPr>
        <w:spacing w:after="20" w:before="0"/>
      </w:pPr>
    </w:p>
    <w:p>
      <w:pPr>
        <w:keepNext/>
        <w:spacing w:before="40" w:after="80"/>
      </w:pPr>
      <w:r>
        <w:rPr>
          <w:rFonts w:ascii="Times New Roman" w:hAnsi="Times New Roman" w:eastAsia="Times New Roman"/>
          <w:b/>
          <w:color w:val="203864"/>
          <w:sz w:val="23"/>
        </w:rPr>
        <w:t>PROJECT-SPECIFIC TERMS</w:t>
      </w:r>
    </w:p>
    <w:tbl>
      <w:tblPr>
        <w:tblW w:type="dxa" w:w="10080"/>
        <w:jc w:val="left"/>
        <w:tblLayout w:type="fixed"/>
        <w:tblLook w:firstColumn="1" w:firstRow="1" w:lastColumn="0" w:lastRow="0" w:noHBand="0" w:noVBand="1" w:val="04A0"/>
        <w:tblInd w:type="dxa" w:w="120"/>
      </w:tblPr>
      <w:tblGrid>
        <w:gridCol w:w="3567"/>
        <w:gridCol w:w="6513"/>
      </w:tblGrid>
      <w:tr>
        <w:trPr/>
        <w:tc>
          <w:tcPr>
            <w:tcW w:type="dxa" w:w="3567"/>
            <w:shd w:fill="D9EAF7"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5" w:type="dxa"/>
              <w:bottom w:w="85" w:type="dxa"/>
              <w:start w:w="120" w:type="dxa"/>
              <w:end w:w="120" w:type="dxa"/>
            </w:tcMar>
          </w:tcPr>
          <w:p>
            <w:pPr>
              <w:spacing w:before="0" w:after="0"/>
              <w:jc w:val="left"/>
            </w:pPr>
            <w:r>
              <w:rPr>
                <w:rFonts w:ascii="Times New Roman" w:hAnsi="Times New Roman" w:eastAsia="Times New Roman"/>
                <w:b/>
                <w:color w:val="203864"/>
                <w:sz w:val="18"/>
              </w:rPr>
              <w:t>Client legal name(s)</w:t>
            </w:r>
          </w:p>
        </w:tc>
        <w:tc>
          <w:tcPr>
            <w:tcW w:type="dxa" w:w="6513"/>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tcMar>
              <w:top w:w="85" w:type="dxa"/>
              <w:bottom w:w="85" w:type="dxa"/>
              <w:start w:w="120" w:type="dxa"/>
              <w:end w:w="120" w:type="dxa"/>
            </w:tcMar>
          </w:tcPr>
          <w:p>
            <w:pPr>
              <w:spacing w:after="0"/>
            </w:pPr>
            <w:r/>
            <w:r>
              <w:rPr>
                <w:rFonts w:ascii="Times New Roman" w:hAnsi="Times New Roman" w:eastAsia="Times New Roman"/>
                <w:i/>
                <w:color w:val="4A4A4A"/>
                <w:sz w:val="19"/>
                <w:shd w:val="clear" w:fill="FFF2CC"/>
              </w:rPr>
              <w:t>[JOBTREAD: ALL CLIENT / RECORD OWNER NAMES]</w:t>
            </w:r>
          </w:p>
        </w:tc>
      </w:tr>
      <w:tr>
        <w:trPr/>
        <w:tc>
          <w:tcPr>
            <w:tcW w:type="dxa" w:w="3567"/>
            <w:shd w:fill="EEF5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5" w:type="dxa"/>
              <w:bottom w:w="85" w:type="dxa"/>
              <w:start w:w="120" w:type="dxa"/>
              <w:end w:w="120" w:type="dxa"/>
            </w:tcMar>
          </w:tcPr>
          <w:p>
            <w:pPr>
              <w:spacing w:before="0" w:after="0"/>
              <w:jc w:val="left"/>
            </w:pPr>
            <w:r>
              <w:rPr>
                <w:rFonts w:ascii="Times New Roman" w:hAnsi="Times New Roman" w:eastAsia="Times New Roman"/>
                <w:b/>
                <w:color w:val="203864"/>
                <w:sz w:val="18"/>
              </w:rPr>
              <w:t>Property address</w:t>
            </w:r>
          </w:p>
        </w:tc>
        <w:tc>
          <w:tcPr>
            <w:tcW w:type="dxa" w:w="6513"/>
            <w:shd w:fill="FAFA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tcMar>
              <w:top w:w="85" w:type="dxa"/>
              <w:bottom w:w="85" w:type="dxa"/>
              <w:start w:w="120" w:type="dxa"/>
              <w:end w:w="120" w:type="dxa"/>
            </w:tcMar>
          </w:tcPr>
          <w:p>
            <w:pPr>
              <w:spacing w:after="0"/>
            </w:pPr>
            <w:r/>
            <w:r>
              <w:rPr>
                <w:rFonts w:ascii="Times New Roman" w:hAnsi="Times New Roman" w:eastAsia="Times New Roman"/>
                <w:i/>
                <w:color w:val="4A4A4A"/>
                <w:sz w:val="19"/>
                <w:shd w:val="clear" w:fill="FFF2CC"/>
              </w:rPr>
              <w:t>[JOBTREAD: PROJECT PROPERTY ADDRESS]</w:t>
            </w:r>
          </w:p>
        </w:tc>
      </w:tr>
      <w:tr>
        <w:trPr/>
        <w:tc>
          <w:tcPr>
            <w:tcW w:type="dxa" w:w="3567"/>
            <w:shd w:fill="D9EAF7"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5" w:type="dxa"/>
              <w:bottom w:w="85" w:type="dxa"/>
              <w:start w:w="120" w:type="dxa"/>
              <w:end w:w="120" w:type="dxa"/>
            </w:tcMar>
          </w:tcPr>
          <w:p>
            <w:pPr>
              <w:spacing w:before="0" w:after="0"/>
              <w:jc w:val="left"/>
            </w:pPr>
            <w:r>
              <w:rPr>
                <w:rFonts w:ascii="Times New Roman" w:hAnsi="Times New Roman" w:eastAsia="Times New Roman"/>
                <w:b/>
                <w:color w:val="203864"/>
                <w:sz w:val="18"/>
              </w:rPr>
              <w:t>JobTread project / proposal</w:t>
            </w:r>
          </w:p>
        </w:tc>
        <w:tc>
          <w:tcPr>
            <w:tcW w:type="dxa" w:w="6513"/>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tcMar>
              <w:top w:w="85" w:type="dxa"/>
              <w:bottom w:w="85" w:type="dxa"/>
              <w:start w:w="120" w:type="dxa"/>
              <w:end w:w="120" w:type="dxa"/>
            </w:tcMar>
          </w:tcPr>
          <w:p>
            <w:pPr>
              <w:spacing w:after="0"/>
            </w:pPr>
            <w:r/>
            <w:r>
              <w:rPr>
                <w:rFonts w:ascii="Times New Roman" w:hAnsi="Times New Roman" w:eastAsia="Times New Roman"/>
                <w:i/>
                <w:color w:val="4A4A4A"/>
                <w:sz w:val="19"/>
                <w:shd w:val="clear" w:fill="FFF2CC"/>
              </w:rPr>
              <w:t>[JOBTREAD: PROJECT NUMBER, PROPOSAL NUMBER, DATE AND VERSION]</w:t>
            </w:r>
          </w:p>
        </w:tc>
      </w:tr>
      <w:tr>
        <w:trPr/>
        <w:tc>
          <w:tcPr>
            <w:tcW w:type="dxa" w:w="3567"/>
            <w:shd w:fill="EEF5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5" w:type="dxa"/>
              <w:bottom w:w="85" w:type="dxa"/>
              <w:start w:w="120" w:type="dxa"/>
              <w:end w:w="120" w:type="dxa"/>
            </w:tcMar>
          </w:tcPr>
          <w:p>
            <w:pPr>
              <w:spacing w:before="0" w:after="0"/>
              <w:jc w:val="left"/>
            </w:pPr>
            <w:r>
              <w:rPr>
                <w:rFonts w:ascii="Times New Roman" w:hAnsi="Times New Roman" w:eastAsia="Times New Roman"/>
                <w:b/>
                <w:color w:val="203864"/>
                <w:sz w:val="18"/>
              </w:rPr>
              <w:t>Preliminary Project Budget</w:t>
            </w:r>
          </w:p>
        </w:tc>
        <w:tc>
          <w:tcPr>
            <w:tcW w:type="dxa" w:w="6513"/>
            <w:shd w:fill="FAFA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tcMar>
              <w:top w:w="85" w:type="dxa"/>
              <w:bottom w:w="85" w:type="dxa"/>
              <w:start w:w="120" w:type="dxa"/>
              <w:end w:w="120" w:type="dxa"/>
            </w:tcMar>
          </w:tcPr>
          <w:p>
            <w:pPr>
              <w:spacing w:after="0"/>
            </w:pPr>
            <w:r/>
            <w:r>
              <w:rPr>
                <w:rFonts w:ascii="Times New Roman" w:hAnsi="Times New Roman" w:eastAsia="Times New Roman"/>
                <w:i/>
                <w:color w:val="4A4A4A"/>
                <w:sz w:val="19"/>
                <w:shd w:val="clear" w:fill="FFF2CC"/>
              </w:rPr>
              <w:t>$[JOBTREAD: PRELIMINARY PROJECT BUDGET]</w:t>
            </w:r>
          </w:p>
        </w:tc>
      </w:tr>
      <w:tr>
        <w:trPr/>
        <w:tc>
          <w:tcPr>
            <w:tcW w:type="dxa" w:w="3567"/>
            <w:shd w:fill="D9EAF7"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5" w:type="dxa"/>
              <w:bottom w:w="85" w:type="dxa"/>
              <w:start w:w="120" w:type="dxa"/>
              <w:end w:w="120" w:type="dxa"/>
            </w:tcMar>
          </w:tcPr>
          <w:p>
            <w:pPr>
              <w:spacing w:before="0" w:after="0"/>
              <w:jc w:val="left"/>
            </w:pPr>
            <w:r>
              <w:rPr>
                <w:rFonts w:ascii="Times New Roman" w:hAnsi="Times New Roman" w:eastAsia="Times New Roman"/>
                <w:b/>
                <w:color w:val="203864"/>
                <w:sz w:val="18"/>
              </w:rPr>
              <w:t>Applied Phase 2 percentage (or N/A)</w:t>
            </w:r>
          </w:p>
        </w:tc>
        <w:tc>
          <w:tcPr>
            <w:tcW w:type="dxa" w:w="6513"/>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tcMar>
              <w:top w:w="85" w:type="dxa"/>
              <w:bottom w:w="85" w:type="dxa"/>
              <w:start w:w="120" w:type="dxa"/>
              <w:end w:w="120" w:type="dxa"/>
            </w:tcMar>
          </w:tcPr>
          <w:p>
            <w:pPr>
              <w:spacing w:after="0"/>
            </w:pPr>
            <w:r/>
            <w:r>
              <w:rPr>
                <w:rFonts w:ascii="Times New Roman" w:hAnsi="Times New Roman" w:eastAsia="Times New Roman"/>
                <w:i/>
                <w:color w:val="4A4A4A"/>
                <w:sz w:val="19"/>
                <w:shd w:val="clear" w:fill="FFF2CC"/>
              </w:rPr>
              <w:t>[JOBTREAD: ___% - NOT TO EXCEED 10%; N/A IF FIXED DIRECTLY]</w:t>
            </w:r>
          </w:p>
        </w:tc>
      </w:tr>
      <w:tr>
        <w:trPr/>
        <w:tc>
          <w:tcPr>
            <w:tcW w:type="dxa" w:w="3567"/>
            <w:shd w:fill="EEF5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5" w:type="dxa"/>
              <w:bottom w:w="85" w:type="dxa"/>
              <w:start w:w="120" w:type="dxa"/>
              <w:end w:w="120" w:type="dxa"/>
            </w:tcMar>
          </w:tcPr>
          <w:p>
            <w:pPr>
              <w:spacing w:before="0" w:after="0"/>
              <w:jc w:val="left"/>
            </w:pPr>
            <w:r>
              <w:rPr>
                <w:rFonts w:ascii="Times New Roman" w:hAnsi="Times New Roman" w:eastAsia="Times New Roman"/>
                <w:b/>
                <w:color w:val="203864"/>
                <w:sz w:val="18"/>
              </w:rPr>
              <w:t>Project Development Payment</w:t>
            </w:r>
          </w:p>
        </w:tc>
        <w:tc>
          <w:tcPr>
            <w:tcW w:type="dxa" w:w="6513"/>
            <w:shd w:fill="FAFA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tcMar>
              <w:top w:w="85" w:type="dxa"/>
              <w:bottom w:w="85" w:type="dxa"/>
              <w:start w:w="120" w:type="dxa"/>
              <w:end w:w="120" w:type="dxa"/>
            </w:tcMar>
          </w:tcPr>
          <w:p>
            <w:pPr>
              <w:spacing w:after="0"/>
            </w:pPr>
            <w:r/>
            <w:r>
              <w:rPr>
                <w:rFonts w:ascii="Times New Roman" w:hAnsi="Times New Roman" w:eastAsia="Times New Roman"/>
                <w:i/>
                <w:color w:val="4A4A4A"/>
                <w:sz w:val="19"/>
                <w:shd w:val="clear" w:fill="FFF2CC"/>
              </w:rPr>
              <w:t>$[JOBTREAD: FIXED DOLLAR AMOUNT - CONTROLLING AMOUNT]</w:t>
            </w:r>
          </w:p>
        </w:tc>
      </w:tr>
      <w:tr>
        <w:trPr/>
        <w:tc>
          <w:tcPr>
            <w:tcW w:type="dxa" w:w="3567"/>
            <w:shd w:fill="D9EAF7"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5" w:type="dxa"/>
              <w:bottom w:w="85" w:type="dxa"/>
              <w:start w:w="120" w:type="dxa"/>
              <w:end w:w="120" w:type="dxa"/>
            </w:tcMar>
          </w:tcPr>
          <w:p>
            <w:pPr>
              <w:spacing w:before="0" w:after="0"/>
              <w:jc w:val="left"/>
            </w:pPr>
            <w:r>
              <w:rPr>
                <w:rFonts w:ascii="Times New Roman" w:hAnsi="Times New Roman" w:eastAsia="Times New Roman"/>
                <w:b/>
                <w:color w:val="203864"/>
                <w:sz w:val="18"/>
              </w:rPr>
              <w:t>Preconstruction Services Fee (50%)</w:t>
            </w:r>
          </w:p>
        </w:tc>
        <w:tc>
          <w:tcPr>
            <w:tcW w:type="dxa" w:w="6513"/>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tcMar>
              <w:top w:w="85" w:type="dxa"/>
              <w:bottom w:w="85" w:type="dxa"/>
              <w:start w:w="120" w:type="dxa"/>
              <w:end w:w="120" w:type="dxa"/>
            </w:tcMar>
          </w:tcPr>
          <w:p>
            <w:pPr>
              <w:spacing w:after="0"/>
            </w:pPr>
            <w:r/>
            <w:r>
              <w:rPr>
                <w:rFonts w:ascii="Times New Roman" w:hAnsi="Times New Roman" w:eastAsia="Times New Roman"/>
                <w:i/>
                <w:color w:val="4A4A4A"/>
                <w:sz w:val="19"/>
                <w:shd w:val="clear" w:fill="FFF2CC"/>
              </w:rPr>
              <w:t>$[JOBTREAD: EXACT 50% AMOUNT]</w:t>
            </w:r>
          </w:p>
        </w:tc>
      </w:tr>
      <w:tr>
        <w:trPr/>
        <w:tc>
          <w:tcPr>
            <w:tcW w:type="dxa" w:w="3567"/>
            <w:shd w:fill="EEF5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5" w:type="dxa"/>
              <w:bottom w:w="85" w:type="dxa"/>
              <w:start w:w="120" w:type="dxa"/>
              <w:end w:w="120" w:type="dxa"/>
            </w:tcMar>
          </w:tcPr>
          <w:p>
            <w:pPr>
              <w:spacing w:before="0" w:after="0"/>
              <w:jc w:val="left"/>
            </w:pPr>
            <w:r>
              <w:rPr>
                <w:rFonts w:ascii="Times New Roman" w:hAnsi="Times New Roman" w:eastAsia="Times New Roman"/>
                <w:b/>
                <w:color w:val="203864"/>
                <w:sz w:val="18"/>
              </w:rPr>
              <w:t>Continuation Amount (50%)</w:t>
            </w:r>
          </w:p>
        </w:tc>
        <w:tc>
          <w:tcPr>
            <w:tcW w:type="dxa" w:w="6513"/>
            <w:shd w:fill="FAFA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tcMar>
              <w:top w:w="85" w:type="dxa"/>
              <w:bottom w:w="85" w:type="dxa"/>
              <w:start w:w="120" w:type="dxa"/>
              <w:end w:w="120" w:type="dxa"/>
            </w:tcMar>
          </w:tcPr>
          <w:p>
            <w:pPr>
              <w:spacing w:after="0"/>
            </w:pPr>
            <w:r/>
            <w:r>
              <w:rPr>
                <w:rFonts w:ascii="Times New Roman" w:hAnsi="Times New Roman" w:eastAsia="Times New Roman"/>
                <w:i/>
                <w:color w:val="4A4A4A"/>
                <w:sz w:val="19"/>
                <w:shd w:val="clear" w:fill="FFF2CC"/>
              </w:rPr>
              <w:t>$[JOBTREAD: EXACT 50% AMOUNT]</w:t>
            </w:r>
          </w:p>
        </w:tc>
      </w:tr>
    </w:tbl>
    <w:p>
      <w:pPr>
        <w:pStyle w:val="AgreementBody"/>
        <w:spacing w:before="80" w:after="120"/>
        <w:ind w:left="0"/>
      </w:pPr>
      <w:r>
        <w:rPr>
          <w:rFonts w:ascii="Times New Roman" w:hAnsi="Times New Roman" w:eastAsia="Times New Roman"/>
          <w:color w:val="000000"/>
          <w:sz w:val="21"/>
        </w:rPr>
        <w:t xml:space="preserve">The accepted JobTread project summary or proposal identified above (the </w:t>
      </w:r>
      <w:r>
        <w:rPr>
          <w:rFonts w:ascii="Times New Roman" w:hAnsi="Times New Roman" w:eastAsia="Times New Roman"/>
          <w:b/>
          <w:color w:val="000000"/>
          <w:sz w:val="21"/>
        </w:rPr>
        <w:t>Project Summary</w:t>
      </w:r>
      <w:r>
        <w:rPr>
          <w:rFonts w:ascii="Times New Roman" w:hAnsi="Times New Roman" w:eastAsia="Times New Roman"/>
          <w:color w:val="000000"/>
          <w:sz w:val="21"/>
        </w:rPr>
        <w:t>) is incorporated only to identify the Project, preliminary scope and budget, specific Phase 2 deliverables, included revisions, fixed Project Development Payment, and any project-specific schedule. This Agreement controls legal and risk-allocation terms. No amount may be supplied by a default percentage or fallback fee if a required Project-Specific Term is blank. All dollar fields above must be completed; the applied percentage may be marked N/A if the payment was fixed directly.</w:t>
      </w:r>
    </w:p>
    <w:p>
      <w:pPr>
        <w:pStyle w:val="AgreementSection"/>
        <w:keepNext/>
        <w:numPr>
          <w:ilvl w:val="0"/>
          <w:numId w:val="10"/>
        </w:numPr>
      </w:pPr>
      <w:r>
        <w:rPr>
          <w:rFonts w:ascii="Times New Roman" w:hAnsi="Times New Roman" w:eastAsia="Times New Roman"/>
          <w:b/>
          <w:color w:val="203864"/>
          <w:sz w:val="23"/>
        </w:rPr>
        <w:t>THREE-PHASE DESIGN-BUILD PROCESS</w:t>
      </w:r>
    </w:p>
    <w:p>
      <w:pPr>
        <w:pStyle w:val="AgreementClause"/>
        <w:spacing w:after="60"/>
        <w:numPr>
          <w:ilvl w:val="0"/>
          <w:numId w:val="11"/>
        </w:numPr>
      </w:pPr>
      <w:r>
        <w:rPr>
          <w:rFonts w:ascii="Times New Roman" w:hAnsi="Times New Roman" w:eastAsia="Times New Roman"/>
          <w:b/>
          <w:color w:val="000000"/>
          <w:sz w:val="20"/>
        </w:rPr>
        <w:t xml:space="preserve">Phase 1 - Complimentary Project Consultation. </w:t>
      </w:r>
      <w:r>
        <w:rPr>
          <w:rFonts w:ascii="Times New Roman" w:hAnsi="Times New Roman" w:eastAsia="Times New Roman"/>
          <w:color w:val="000000"/>
          <w:sz w:val="20"/>
        </w:rPr>
        <w:t>Before this Agreement, Contractor provided or offered, without charge, an initial Property visit, discussion of Client's needs and preferences, a preliminary scope summary, and preliminary pricing. No payment is owed for Phase 1 if Client does not sign this Agreement. Phase 1 information is preliminary, for screening and planning only, and is not a binding bid, final scope, guaranteed price, or authorization to begin work.</w:t>
      </w:r>
    </w:p>
    <w:p>
      <w:pPr>
        <w:pStyle w:val="AgreementClause"/>
        <w:spacing w:after="60"/>
        <w:numPr>
          <w:ilvl w:val="0"/>
          <w:numId w:val="11"/>
        </w:numPr>
      </w:pPr>
      <w:r>
        <w:rPr>
          <w:rFonts w:ascii="Times New Roman" w:hAnsi="Times New Roman" w:eastAsia="Times New Roman"/>
          <w:b/>
          <w:color w:val="000000"/>
          <w:sz w:val="20"/>
        </w:rPr>
        <w:t xml:space="preserve">Phase 2 - Project Development. </w:t>
      </w:r>
      <w:r>
        <w:rPr>
          <w:rFonts w:ascii="Times New Roman" w:hAnsi="Times New Roman" w:eastAsia="Times New Roman"/>
          <w:color w:val="000000"/>
          <w:sz w:val="20"/>
        </w:rPr>
        <w:t>This Agreement governs the preconstruction, design-development, selection, scope-development, and pricing services described below and in the Project Summary (collectively, the Phase 2 Services).</w:t>
      </w:r>
    </w:p>
    <w:p>
      <w:pPr>
        <w:pStyle w:val="AgreementClause"/>
        <w:spacing w:after="60"/>
        <w:numPr>
          <w:ilvl w:val="0"/>
          <w:numId w:val="11"/>
        </w:numPr>
      </w:pPr>
      <w:r>
        <w:rPr>
          <w:rFonts w:ascii="Times New Roman" w:hAnsi="Times New Roman" w:eastAsia="Times New Roman"/>
          <w:b/>
          <w:color w:val="000000"/>
          <w:sz w:val="20"/>
        </w:rPr>
        <w:t xml:space="preserve">Phase 3 - Construction. </w:t>
      </w:r>
      <w:r>
        <w:rPr>
          <w:rFonts w:ascii="Times New Roman" w:hAnsi="Times New Roman" w:eastAsia="Times New Roman"/>
          <w:color w:val="000000"/>
          <w:sz w:val="20"/>
        </w:rPr>
        <w:t>After Phase 2, Contractor expects to present a separate proposed construction agreement containing the final proposed scope, price, payment schedule, and construction terms (the Construction Agreement). Neither party is obligated to sign it. Construction may begin only after both parties sign the Construction Agreement and Client satisfies its start conditions.</w:t>
      </w:r>
    </w:p>
    <w:p>
      <w:pPr>
        <w:pStyle w:val="AgreementSection"/>
        <w:keepNext/>
        <w:numPr>
          <w:ilvl w:val="0"/>
          <w:numId w:val="10"/>
        </w:numPr>
      </w:pPr>
      <w:r>
        <w:rPr>
          <w:rFonts w:ascii="Times New Roman" w:hAnsi="Times New Roman" w:eastAsia="Times New Roman"/>
          <w:b/>
          <w:color w:val="203864"/>
          <w:sz w:val="23"/>
        </w:rPr>
        <w:t>PHASE 2 SERVICES AND DELIVERABLES</w:t>
      </w:r>
    </w:p>
    <w:p>
      <w:pPr>
        <w:pStyle w:val="AgreementBody"/>
        <w:spacing w:before="0" w:after="80"/>
        <w:ind w:left="0"/>
      </w:pPr>
      <w:r>
        <w:rPr>
          <w:rFonts w:ascii="Times New Roman" w:hAnsi="Times New Roman" w:eastAsia="Times New Roman"/>
          <w:color w:val="000000"/>
          <w:sz w:val="21"/>
        </w:rPr>
        <w:t>Contractor will perform only the Phase 2 Services and deliver only the items identified in this Agreement and the Project Summary. As applicable to the Project, Phase 2 Services may include:</w:t>
      </w:r>
    </w:p>
    <w:p>
      <w:pPr>
        <w:pStyle w:val="AgreementClause"/>
        <w:spacing w:after="60"/>
        <w:numPr>
          <w:ilvl w:val="0"/>
          <w:numId w:val="12"/>
        </w:numPr>
      </w:pPr>
      <w:r>
        <w:rPr>
          <w:rFonts w:ascii="Times New Roman" w:hAnsi="Times New Roman" w:eastAsia="Times New Roman"/>
          <w:b/>
          <w:color w:val="000000"/>
          <w:sz w:val="20"/>
        </w:rPr>
        <w:t xml:space="preserve">Project programming and field verification. </w:t>
      </w:r>
      <w:r>
        <w:rPr>
          <w:rFonts w:ascii="Times New Roman" w:hAnsi="Times New Roman" w:eastAsia="Times New Roman"/>
          <w:color w:val="000000"/>
          <w:sz w:val="20"/>
        </w:rPr>
        <w:t>Reviewing Client's goals, priorities, budget objectives, existing information, and reasonably accessible site conditions; taking field measurements appropriate for conceptual design and pricing; and identifying material information gaps.</w:t>
      </w:r>
    </w:p>
    <w:p>
      <w:pPr>
        <w:pStyle w:val="AgreementClause"/>
        <w:spacing w:after="60"/>
        <w:numPr>
          <w:ilvl w:val="0"/>
          <w:numId w:val="12"/>
        </w:numPr>
      </w:pPr>
      <w:r>
        <w:rPr>
          <w:rFonts w:ascii="Times New Roman" w:hAnsi="Times New Roman" w:eastAsia="Times New Roman"/>
          <w:b/>
          <w:color w:val="000000"/>
          <w:sz w:val="20"/>
        </w:rPr>
        <w:t xml:space="preserve">Design and selections development. </w:t>
      </w:r>
      <w:r>
        <w:rPr>
          <w:rFonts w:ascii="Times New Roman" w:hAnsi="Times New Roman" w:eastAsia="Times New Roman"/>
          <w:color w:val="000000"/>
          <w:sz w:val="20"/>
        </w:rPr>
        <w:t>Preparing conceptual layouts, design concepts, finish and fixture options, allowances, selection schedules, and visual materials expressly included in the Project Summary.</w:t>
      </w:r>
    </w:p>
    <w:p>
      <w:pPr>
        <w:pStyle w:val="AgreementClause"/>
        <w:spacing w:after="60"/>
        <w:numPr>
          <w:ilvl w:val="0"/>
          <w:numId w:val="12"/>
        </w:numPr>
      </w:pPr>
      <w:r>
        <w:rPr>
          <w:rFonts w:ascii="Times New Roman" w:hAnsi="Times New Roman" w:eastAsia="Times New Roman"/>
          <w:b/>
          <w:color w:val="000000"/>
          <w:sz w:val="20"/>
        </w:rPr>
        <w:t xml:space="preserve">Scope and cost development. </w:t>
      </w:r>
      <w:r>
        <w:rPr>
          <w:rFonts w:ascii="Times New Roman" w:hAnsi="Times New Roman" w:eastAsia="Times New Roman"/>
          <w:color w:val="000000"/>
          <w:sz w:val="20"/>
        </w:rPr>
        <w:t>Coordinating preliminary trade or vendor input; evaluating constructability; refining the scope of work, allowances, and estimated pricing; and identifying material assumptions and exclusions.</w:t>
      </w:r>
    </w:p>
    <w:p>
      <w:pPr>
        <w:pStyle w:val="AgreementClause"/>
        <w:spacing w:after="60"/>
        <w:numPr>
          <w:ilvl w:val="0"/>
          <w:numId w:val="12"/>
        </w:numPr>
      </w:pPr>
      <w:r>
        <w:rPr>
          <w:rFonts w:ascii="Times New Roman" w:hAnsi="Times New Roman" w:eastAsia="Times New Roman"/>
          <w:b/>
          <w:color w:val="000000"/>
          <w:sz w:val="20"/>
        </w:rPr>
        <w:t xml:space="preserve">Final Phase 2 Package. </w:t>
      </w:r>
      <w:r>
        <w:rPr>
          <w:rFonts w:ascii="Times New Roman" w:hAnsi="Times New Roman" w:eastAsia="Times New Roman"/>
          <w:color w:val="000000"/>
          <w:sz w:val="20"/>
        </w:rPr>
        <w:t>Delivering the client-facing scope, selection or allowance summary, refined pricing, included conceptual plans or renderings, and proposed Construction Agreement (collectively, the Final Phase 2 Package). Internal takeoffs, subcontractor bids, proprietary cost data, notes, and workpapers are not deliverables unless expressly stated.</w:t>
      </w:r>
    </w:p>
    <w:p>
      <w:pPr>
        <w:pStyle w:val="AgreementBody"/>
        <w:spacing w:before="0" w:after="80"/>
        <w:ind w:left="0"/>
      </w:pPr>
      <w:r>
        <w:rPr>
          <w:rFonts w:ascii="Times New Roman" w:hAnsi="Times New Roman" w:eastAsia="Times New Roman"/>
          <w:b/>
          <w:color w:val="000000"/>
          <w:sz w:val="21"/>
        </w:rPr>
        <w:t xml:space="preserve">Included revisions. </w:t>
      </w:r>
      <w:r>
        <w:rPr>
          <w:rFonts w:ascii="Times New Roman" w:hAnsi="Times New Roman" w:eastAsia="Times New Roman"/>
          <w:color w:val="000000"/>
          <w:sz w:val="21"/>
        </w:rPr>
        <w:t>The revision allowance stated in the Project Summary controls. If none is stated, one initial concept and one consolidated Client revision round are included. Client shall combine comments from all decision-makers into one response. Added areas, changed program requirements, redesign after approval, or additional revision rounds require written authorization under Section 9.</w:t>
      </w:r>
    </w:p>
    <w:p>
      <w:pPr>
        <w:pStyle w:val="AgreementBody"/>
        <w:spacing w:before="0" w:after="80"/>
        <w:ind w:left="0"/>
      </w:pPr>
      <w:r>
        <w:rPr>
          <w:rFonts w:ascii="Times New Roman" w:hAnsi="Times New Roman" w:eastAsia="Times New Roman"/>
          <w:b/>
          <w:color w:val="000000"/>
          <w:sz w:val="21"/>
        </w:rPr>
        <w:t xml:space="preserve">Excluded unless expressly included. </w:t>
      </w:r>
      <w:r>
        <w:rPr>
          <w:rFonts w:ascii="Times New Roman" w:hAnsi="Times New Roman" w:eastAsia="Times New Roman"/>
          <w:color w:val="000000"/>
          <w:sz w:val="21"/>
        </w:rPr>
        <w:t>Unless specifically included through a properly licensed professional, Phase 2 excludes architectural or engineering services; structural, life-safety, egress, accessibility, or building-systems design requiring a license; surveys; geotechnical or environmental work; destructive investigation; hazardous-material testing; energy calculations; and stamped or permit-ready documents. In all events, this Agreement does not authorize permit or HOA submission, purchasing or reserving materials, construction labor, demolition, or site work other than agreed nonintrusive access, measurements, and field verification.</w:t>
      </w:r>
    </w:p>
    <w:p>
      <w:pPr>
        <w:pStyle w:val="AgreementBody"/>
        <w:spacing w:before="0" w:after="80"/>
        <w:ind w:left="0"/>
      </w:pPr>
      <w:r>
        <w:rPr>
          <w:rFonts w:ascii="Times New Roman" w:hAnsi="Times New Roman" w:eastAsia="Times New Roman"/>
          <w:b/>
          <w:color w:val="000000"/>
          <w:sz w:val="21"/>
        </w:rPr>
        <w:t xml:space="preserve">Completion notice. </w:t>
      </w:r>
      <w:r>
        <w:rPr>
          <w:rFonts w:ascii="Times New Roman" w:hAnsi="Times New Roman" w:eastAsia="Times New Roman"/>
          <w:color w:val="000000"/>
          <w:sz w:val="21"/>
        </w:rPr>
        <w:t>Contractor will provide written notice when it delivers the Final Phase 2 Package. Client shall identify any materially omitted deliverable expressly required by the Project Summary within five business days. Contractor will correct a confirmed omission. This review does not require Client to accept the proposed Construction Agreement and does not waive a claim for a latent error.</w:t>
      </w:r>
    </w:p>
    <w:p>
      <w:pPr>
        <w:pStyle w:val="AgreementSection"/>
        <w:keepNext/>
        <w:numPr>
          <w:ilvl w:val="0"/>
          <w:numId w:val="10"/>
        </w:numPr>
      </w:pPr>
      <w:r>
        <w:rPr>
          <w:rFonts w:ascii="Times New Roman" w:hAnsi="Times New Roman" w:eastAsia="Times New Roman"/>
          <w:b/>
          <w:color w:val="203864"/>
          <w:sz w:val="23"/>
        </w:rPr>
        <w:t>PROJECT DEVELOPMENT PAYMENT, CREDIT, AND REFUND</w:t>
      </w:r>
    </w:p>
    <w:p>
      <w:pPr>
        <w:pStyle w:val="AgreementBody"/>
        <w:spacing w:before="0" w:after="80"/>
        <w:ind w:left="0"/>
      </w:pPr>
      <w:r>
        <w:rPr>
          <w:rFonts w:ascii="Times New Roman" w:hAnsi="Times New Roman" w:eastAsia="Times New Roman"/>
          <w:b/>
          <w:color w:val="000000"/>
          <w:sz w:val="21"/>
        </w:rPr>
        <w:t xml:space="preserve">Fixed amount and payment date. </w:t>
      </w:r>
      <w:r>
        <w:rPr>
          <w:rFonts w:ascii="Times New Roman" w:hAnsi="Times New Roman" w:eastAsia="Times New Roman"/>
          <w:color w:val="000000"/>
          <w:sz w:val="21"/>
        </w:rPr>
        <w:t>Client shall pay the exact Project Development Payment stated in the Project-Specific Terms within five days after signing, and before Phase 2 begins. Although the amount may be calculated as a percentage not exceeding 10% of the Preliminary Project Budget, the stated dollar amount controls over any percentage or mathematical discrepancy. It is a Phase 2 payment, not a construction deposit, and does not reserve pricing or a start date.</w:t>
      </w:r>
    </w:p>
    <w:p>
      <w:pPr>
        <w:pStyle w:val="AgreementBody"/>
        <w:spacing w:before="0" w:after="80"/>
        <w:ind w:left="0"/>
      </w:pPr>
      <w:r>
        <w:rPr>
          <w:rFonts w:ascii="Times New Roman" w:hAnsi="Times New Roman" w:eastAsia="Times New Roman"/>
          <w:b/>
          <w:color w:val="000000"/>
          <w:sz w:val="21"/>
        </w:rPr>
        <w:t xml:space="preserve">Allocation. </w:t>
      </w:r>
      <w:r>
        <w:rPr>
          <w:rFonts w:ascii="Times New Roman" w:hAnsi="Times New Roman" w:eastAsia="Times New Roman"/>
          <w:color w:val="000000"/>
          <w:sz w:val="21"/>
        </w:rPr>
        <w:t>The Project Development Payment is allocated at signing as follows:</w:t>
      </w:r>
    </w:p>
    <w:p>
      <w:pPr>
        <w:pStyle w:val="AgreementClause"/>
        <w:spacing w:after="60"/>
        <w:numPr>
          <w:ilvl w:val="0"/>
          <w:numId w:val="13"/>
        </w:numPr>
      </w:pPr>
      <w:r>
        <w:rPr>
          <w:rFonts w:ascii="Times New Roman" w:hAnsi="Times New Roman" w:eastAsia="Times New Roman"/>
          <w:b/>
          <w:color w:val="000000"/>
          <w:sz w:val="20"/>
        </w:rPr>
        <w:t xml:space="preserve">Preconstruction Services Fee. </w:t>
      </w:r>
      <w:r>
        <w:rPr>
          <w:rFonts w:ascii="Times New Roman" w:hAnsi="Times New Roman" w:eastAsia="Times New Roman"/>
          <w:color w:val="000000"/>
          <w:sz w:val="20"/>
        </w:rPr>
        <w:t>Fifty percent (50%) is the agreed fixed fee for the Phase 2 Services. It is earned as the milestones below are performed and is fully earned upon delivery of the Final Phase 2 Package.</w:t>
      </w:r>
    </w:p>
    <w:p>
      <w:pPr>
        <w:pStyle w:val="AgreementClause"/>
        <w:spacing w:after="60"/>
        <w:numPr>
          <w:ilvl w:val="0"/>
          <w:numId w:val="13"/>
        </w:numPr>
      </w:pPr>
      <w:r>
        <w:rPr>
          <w:rFonts w:ascii="Times New Roman" w:hAnsi="Times New Roman" w:eastAsia="Times New Roman"/>
          <w:b/>
          <w:color w:val="000000"/>
          <w:sz w:val="20"/>
        </w:rPr>
        <w:t xml:space="preserve">Continuation Amount. </w:t>
      </w:r>
      <w:r>
        <w:rPr>
          <w:rFonts w:ascii="Times New Roman" w:hAnsi="Times New Roman" w:eastAsia="Times New Roman"/>
          <w:color w:val="000000"/>
          <w:sz w:val="20"/>
        </w:rPr>
        <w:t>Fifty percent (50%) remains conditionally refundable pending Client's construction election. It is applied as part of a Full Construction Credit or Partial Construction Credit, or refunded as provided below. It is not earned merely because Client signed this Agreement.</w:t>
      </w:r>
    </w:p>
    <w:p>
      <w:pPr>
        <w:keepNext/>
        <w:spacing w:before="40" w:after="60"/>
      </w:pPr>
      <w:r>
        <w:rPr>
          <w:rFonts w:ascii="Times New Roman" w:hAnsi="Times New Roman" w:eastAsia="Times New Roman"/>
          <w:b/>
          <w:color w:val="203864"/>
          <w:sz w:val="21"/>
        </w:rPr>
        <w:t>PRECONSTRUCTION SERVICES FEE MILESTONES</w:t>
      </w:r>
    </w:p>
    <w:tbl>
      <w:tblPr>
        <w:tblW w:type="dxa" w:w="10080"/>
        <w:jc w:val="left"/>
        <w:tblLayout w:type="fixed"/>
        <w:tblLook w:firstColumn="1" w:firstRow="1" w:lastColumn="0" w:lastRow="0" w:noHBand="0" w:noVBand="1" w:val="04A0"/>
        <w:tblInd w:type="dxa" w:w="90"/>
      </w:tblPr>
      <w:tblGrid>
        <w:gridCol w:w="1087"/>
        <w:gridCol w:w="2273"/>
        <w:gridCol w:w="5040"/>
        <w:gridCol w:w="1680"/>
      </w:tblGrid>
      <w:tr>
        <w:trPr>
          <w:tblHeader w:val="true"/>
        </w:trPr>
        <w:tc>
          <w:tcPr>
            <w:tcW w:type="dxa" w:w="1087"/>
            <w:shd w:fill="203864" w:val="clear"/>
            <w:tcBorders>
              <w:top w:val="single" w:sz="6" w:space="0" w:color="203864"/>
              <w:left w:val="single" w:sz="6" w:space="0" w:color="203864"/>
              <w:bottom w:val="single" w:sz="6" w:space="0" w:color="203864"/>
              <w:right w:val="single" w:sz="6" w:space="0" w:color="203864"/>
              <w:insideH w:val="single" w:sz="6" w:space="0" w:color="203864"/>
              <w:insideV w:val="single" w:sz="6" w:space="0" w:color="203864"/>
            </w:tcBorders>
            <w:vAlign w:val="center"/>
            <w:tcMar>
              <w:top w:w="80" w:type="dxa"/>
              <w:bottom w:w="80" w:type="dxa"/>
              <w:start w:w="90" w:type="dxa"/>
              <w:end w:w="90" w:type="dxa"/>
            </w:tcMar>
          </w:tcPr>
          <w:p>
            <w:pPr>
              <w:spacing w:before="0" w:after="0"/>
              <w:jc w:val="center"/>
            </w:pPr>
            <w:r>
              <w:rPr>
                <w:rFonts w:ascii="Times New Roman" w:hAnsi="Times New Roman" w:eastAsia="Times New Roman"/>
                <w:b/>
                <w:color w:val="FFFFFF"/>
                <w:sz w:val="17"/>
              </w:rPr>
              <w:t>Milestone</w:t>
            </w:r>
          </w:p>
        </w:tc>
        <w:tc>
          <w:tcPr>
            <w:tcW w:type="dxa" w:w="2273"/>
            <w:shd w:fill="203864" w:val="clear"/>
            <w:tcBorders>
              <w:top w:val="single" w:sz="6" w:space="0" w:color="203864"/>
              <w:left w:val="single" w:sz="6" w:space="0" w:color="203864"/>
              <w:bottom w:val="single" w:sz="6" w:space="0" w:color="203864"/>
              <w:right w:val="single" w:sz="6" w:space="0" w:color="203864"/>
              <w:insideH w:val="single" w:sz="6" w:space="0" w:color="203864"/>
              <w:insideV w:val="single" w:sz="6" w:space="0" w:color="203864"/>
            </w:tcBorders>
            <w:vAlign w:val="center"/>
            <w:tcMar>
              <w:top w:w="80" w:type="dxa"/>
              <w:bottom w:w="80" w:type="dxa"/>
              <w:start w:w="90" w:type="dxa"/>
              <w:end w:w="90" w:type="dxa"/>
            </w:tcMar>
          </w:tcPr>
          <w:p>
            <w:pPr>
              <w:spacing w:before="0" w:after="0"/>
              <w:jc w:val="center"/>
            </w:pPr>
            <w:r>
              <w:rPr>
                <w:rFonts w:ascii="Times New Roman" w:hAnsi="Times New Roman" w:eastAsia="Times New Roman"/>
                <w:b/>
                <w:color w:val="FFFFFF"/>
                <w:sz w:val="17"/>
              </w:rPr>
              <w:t>Stage</w:t>
            </w:r>
          </w:p>
        </w:tc>
        <w:tc>
          <w:tcPr>
            <w:tcW w:type="dxa" w:w="5040"/>
            <w:shd w:fill="203864" w:val="clear"/>
            <w:tcBorders>
              <w:top w:val="single" w:sz="6" w:space="0" w:color="203864"/>
              <w:left w:val="single" w:sz="6" w:space="0" w:color="203864"/>
              <w:bottom w:val="single" w:sz="6" w:space="0" w:color="203864"/>
              <w:right w:val="single" w:sz="6" w:space="0" w:color="203864"/>
              <w:insideH w:val="single" w:sz="6" w:space="0" w:color="203864"/>
              <w:insideV w:val="single" w:sz="6" w:space="0" w:color="203864"/>
            </w:tcBorders>
            <w:vAlign w:val="center"/>
            <w:tcMar>
              <w:top w:w="80" w:type="dxa"/>
              <w:bottom w:w="80" w:type="dxa"/>
              <w:start w:w="90" w:type="dxa"/>
              <w:end w:w="90" w:type="dxa"/>
            </w:tcMar>
          </w:tcPr>
          <w:p>
            <w:pPr>
              <w:spacing w:before="0" w:after="0"/>
              <w:jc w:val="center"/>
            </w:pPr>
            <w:r>
              <w:rPr>
                <w:rFonts w:ascii="Times New Roman" w:hAnsi="Times New Roman" w:eastAsia="Times New Roman"/>
                <w:b/>
                <w:color w:val="FFFFFF"/>
                <w:sz w:val="17"/>
              </w:rPr>
              <w:t>Completion evidence</w:t>
            </w:r>
          </w:p>
        </w:tc>
        <w:tc>
          <w:tcPr>
            <w:tcW w:type="dxa" w:w="1680"/>
            <w:shd w:fill="203864" w:val="clear"/>
            <w:tcBorders>
              <w:top w:val="single" w:sz="6" w:space="0" w:color="203864"/>
              <w:left w:val="single" w:sz="6" w:space="0" w:color="203864"/>
              <w:bottom w:val="single" w:sz="6" w:space="0" w:color="203864"/>
              <w:right w:val="single" w:sz="6" w:space="0" w:color="203864"/>
              <w:insideH w:val="single" w:sz="6" w:space="0" w:color="203864"/>
              <w:insideV w:val="single" w:sz="6" w:space="0" w:color="203864"/>
            </w:tcBorders>
            <w:vAlign w:val="center"/>
            <w:tcMar>
              <w:top w:w="80" w:type="dxa"/>
              <w:bottom w:w="80" w:type="dxa"/>
              <w:start w:w="90" w:type="dxa"/>
              <w:end w:w="90" w:type="dxa"/>
            </w:tcMar>
          </w:tcPr>
          <w:p>
            <w:pPr>
              <w:spacing w:before="0" w:after="0"/>
              <w:jc w:val="center"/>
            </w:pPr>
            <w:r>
              <w:rPr>
                <w:rFonts w:ascii="Times New Roman" w:hAnsi="Times New Roman" w:eastAsia="Times New Roman"/>
                <w:b/>
                <w:color w:val="FFFFFF"/>
                <w:sz w:val="17"/>
              </w:rPr>
              <w:t>% of Services Fee</w:t>
            </w:r>
          </w:p>
        </w:tc>
      </w:tr>
      <w:tr>
        <w:trPr/>
        <w:tc>
          <w:tcPr>
            <w:tcW w:type="dxa" w:w="1087"/>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center"/>
            </w:pPr>
            <w:r>
              <w:rPr>
                <w:rFonts w:ascii="Times New Roman" w:hAnsi="Times New Roman" w:eastAsia="Times New Roman"/>
                <w:b/>
                <w:color w:val="000000"/>
                <w:sz w:val="17"/>
              </w:rPr>
              <w:t>1</w:t>
            </w:r>
          </w:p>
        </w:tc>
        <w:tc>
          <w:tcPr>
            <w:tcW w:type="dxa" w:w="2273"/>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left"/>
            </w:pPr>
            <w:r>
              <w:rPr>
                <w:rFonts w:ascii="Times New Roman" w:hAnsi="Times New Roman" w:eastAsia="Times New Roman"/>
                <w:b w:val="0"/>
                <w:color w:val="000000"/>
                <w:sz w:val="17"/>
              </w:rPr>
              <w:t>Project kickoff and verification</w:t>
            </w:r>
          </w:p>
        </w:tc>
        <w:tc>
          <w:tcPr>
            <w:tcW w:type="dxa" w:w="5040"/>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left"/>
            </w:pPr>
            <w:r>
              <w:rPr>
                <w:rFonts w:ascii="Times New Roman" w:hAnsi="Times New Roman" w:eastAsia="Times New Roman"/>
                <w:b w:val="0"/>
                <w:color w:val="000000"/>
                <w:sz w:val="17"/>
              </w:rPr>
              <w:t>Project programming, information review, field verification, and Phase 2 setup</w:t>
            </w:r>
          </w:p>
        </w:tc>
        <w:tc>
          <w:tcPr>
            <w:tcW w:type="dxa" w:w="1680"/>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center"/>
            </w:pPr>
            <w:r>
              <w:rPr>
                <w:rFonts w:ascii="Times New Roman" w:hAnsi="Times New Roman" w:eastAsia="Times New Roman"/>
                <w:b/>
                <w:color w:val="000000"/>
                <w:sz w:val="17"/>
              </w:rPr>
              <w:t>30%</w:t>
            </w:r>
          </w:p>
        </w:tc>
      </w:tr>
      <w:tr>
        <w:trPr/>
        <w:tc>
          <w:tcPr>
            <w:tcW w:type="dxa" w:w="1087"/>
            <w:shd w:fill="EEF5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center"/>
            </w:pPr>
            <w:r>
              <w:rPr>
                <w:rFonts w:ascii="Times New Roman" w:hAnsi="Times New Roman" w:eastAsia="Times New Roman"/>
                <w:b/>
                <w:color w:val="000000"/>
                <w:sz w:val="17"/>
              </w:rPr>
              <w:t>2</w:t>
            </w:r>
          </w:p>
        </w:tc>
        <w:tc>
          <w:tcPr>
            <w:tcW w:type="dxa" w:w="2273"/>
            <w:shd w:fill="EEF5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left"/>
            </w:pPr>
            <w:r>
              <w:rPr>
                <w:rFonts w:ascii="Times New Roman" w:hAnsi="Times New Roman" w:eastAsia="Times New Roman"/>
                <w:b w:val="0"/>
                <w:color w:val="000000"/>
                <w:sz w:val="17"/>
              </w:rPr>
              <w:t>Design and selections development</w:t>
            </w:r>
          </w:p>
        </w:tc>
        <w:tc>
          <w:tcPr>
            <w:tcW w:type="dxa" w:w="5040"/>
            <w:shd w:fill="EEF5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left"/>
            </w:pPr>
            <w:r>
              <w:rPr>
                <w:rFonts w:ascii="Times New Roman" w:hAnsi="Times New Roman" w:eastAsia="Times New Roman"/>
                <w:b w:val="0"/>
                <w:color w:val="000000"/>
                <w:sz w:val="17"/>
              </w:rPr>
              <w:t>Initial applicable design concepts, selections/allowances, scope development, and updated budget work</w:t>
            </w:r>
          </w:p>
        </w:tc>
        <w:tc>
          <w:tcPr>
            <w:tcW w:type="dxa" w:w="1680"/>
            <w:shd w:fill="EEF5FA"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center"/>
            </w:pPr>
            <w:r>
              <w:rPr>
                <w:rFonts w:ascii="Times New Roman" w:hAnsi="Times New Roman" w:eastAsia="Times New Roman"/>
                <w:b/>
                <w:color w:val="000000"/>
                <w:sz w:val="17"/>
              </w:rPr>
              <w:t>40%</w:t>
            </w:r>
          </w:p>
        </w:tc>
      </w:tr>
      <w:tr>
        <w:trPr/>
        <w:tc>
          <w:tcPr>
            <w:tcW w:type="dxa" w:w="1087"/>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center"/>
            </w:pPr>
            <w:r>
              <w:rPr>
                <w:rFonts w:ascii="Times New Roman" w:hAnsi="Times New Roman" w:eastAsia="Times New Roman"/>
                <w:b/>
                <w:color w:val="000000"/>
                <w:sz w:val="17"/>
              </w:rPr>
              <w:t>3</w:t>
            </w:r>
          </w:p>
        </w:tc>
        <w:tc>
          <w:tcPr>
            <w:tcW w:type="dxa" w:w="2273"/>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left"/>
            </w:pPr>
            <w:r>
              <w:rPr>
                <w:rFonts w:ascii="Times New Roman" w:hAnsi="Times New Roman" w:eastAsia="Times New Roman"/>
                <w:b w:val="0"/>
                <w:color w:val="000000"/>
                <w:sz w:val="17"/>
              </w:rPr>
              <w:t>Final package and proposal</w:t>
            </w:r>
          </w:p>
        </w:tc>
        <w:tc>
          <w:tcPr>
            <w:tcW w:type="dxa" w:w="5040"/>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left"/>
            </w:pPr>
            <w:r>
              <w:rPr>
                <w:rFonts w:ascii="Times New Roman" w:hAnsi="Times New Roman" w:eastAsia="Times New Roman"/>
                <w:b w:val="0"/>
                <w:color w:val="000000"/>
                <w:sz w:val="17"/>
              </w:rPr>
              <w:t>Final Phase 2 Package and proposed Construction Agreement delivered</w:t>
            </w:r>
          </w:p>
        </w:tc>
        <w:tc>
          <w:tcPr>
            <w:tcW w:type="dxa" w:w="1680"/>
            <w:shd w:fill="FFFFFF" w:val="clear"/>
            <w:tcBorders>
              <w:top w:val="single" w:sz="6" w:space="0" w:color="A6A6A6"/>
              <w:left w:val="single" w:sz="6" w:space="0" w:color="A6A6A6"/>
              <w:bottom w:val="single" w:sz="6" w:space="0" w:color="A6A6A6"/>
              <w:right w:val="single" w:sz="6" w:space="0" w:color="A6A6A6"/>
              <w:insideH w:val="single" w:sz="6" w:space="0" w:color="A6A6A6"/>
              <w:insideV w:val="single" w:sz="6" w:space="0" w:color="A6A6A6"/>
            </w:tcBorders>
            <w:vAlign w:val="center"/>
            <w:tcMar>
              <w:top w:w="80" w:type="dxa"/>
              <w:bottom w:w="80" w:type="dxa"/>
              <w:start w:w="90" w:type="dxa"/>
              <w:end w:w="90" w:type="dxa"/>
            </w:tcMar>
          </w:tcPr>
          <w:p>
            <w:pPr>
              <w:spacing w:before="0" w:after="0"/>
              <w:jc w:val="center"/>
            </w:pPr>
            <w:r>
              <w:rPr>
                <w:rFonts w:ascii="Times New Roman" w:hAnsi="Times New Roman" w:eastAsia="Times New Roman"/>
                <w:b/>
                <w:color w:val="000000"/>
                <w:sz w:val="17"/>
              </w:rPr>
              <w:t>30%</w:t>
            </w:r>
          </w:p>
        </w:tc>
      </w:tr>
    </w:tbl>
    <w:p>
      <w:pPr>
        <w:pStyle w:val="AgreementBody"/>
        <w:spacing w:before="40" w:after="80"/>
        <w:ind w:left="0"/>
      </w:pPr>
      <w:r>
        <w:rPr>
          <w:rFonts w:ascii="Times New Roman" w:hAnsi="Times New Roman" w:eastAsia="Times New Roman"/>
          <w:color w:val="000000"/>
          <w:sz w:val="21"/>
        </w:rPr>
        <w:t>If termination occurs during a milestone, the earned amount will be reasonably prorated based on documented work completed within that milestone.</w:t>
      </w:r>
    </w:p>
    <w:p>
      <w:pPr>
        <w:pStyle w:val="AgreementBody"/>
        <w:spacing w:before="0" w:after="80"/>
        <w:ind w:left="0"/>
      </w:pPr>
      <w:r>
        <w:rPr>
          <w:rFonts w:ascii="Times New Roman" w:hAnsi="Times New Roman" w:eastAsia="Times New Roman"/>
          <w:b/>
          <w:color w:val="000000"/>
          <w:sz w:val="21"/>
        </w:rPr>
        <w:t xml:space="preserve">Full Construction Credit. </w:t>
      </w:r>
      <w:r>
        <w:rPr>
          <w:rFonts w:ascii="Times New Roman" w:hAnsi="Times New Roman" w:eastAsia="Times New Roman"/>
          <w:color w:val="000000"/>
          <w:sz w:val="21"/>
        </w:rPr>
        <w:t>If, before the proposed Construction Agreement expires, Client (i) signs it for the same Property and substantially the same Project, (ii) authorizes Contractor to perform at least 90% of the final proposed work by dollar value, excluding mutually agreed value engineering or phasing incorporated before the final proposal, and (iii) pays any additional amount then due, Contractor will credit 100% of the Project Development Payment actually paid against the Construction Agreement (the Full Construction Credit).</w:t>
      </w:r>
    </w:p>
    <w:p>
      <w:pPr>
        <w:pStyle w:val="AgreementBody"/>
        <w:spacing w:before="0" w:after="80"/>
        <w:ind w:left="0"/>
      </w:pPr>
      <w:r>
        <w:rPr>
          <w:rFonts w:ascii="Times New Roman" w:hAnsi="Times New Roman" w:eastAsia="Times New Roman"/>
          <w:b/>
          <w:color w:val="000000"/>
          <w:sz w:val="21"/>
        </w:rPr>
        <w:t xml:space="preserve">Partial Construction Credit. </w:t>
      </w:r>
      <w:r>
        <w:rPr>
          <w:rFonts w:ascii="Times New Roman" w:hAnsi="Times New Roman" w:eastAsia="Times New Roman"/>
          <w:color w:val="000000"/>
          <w:sz w:val="21"/>
        </w:rPr>
        <w:t>If Client awards less than 90% of the final proposed work, the Construction Agreement will state an Accepted-Value Ratio, calculated by dividing the accepted value of final-proposal work by the total final-proposal value, excluding mutually agreed value engineering or phasing and capped at 100%. The Partial Construction Credit equals the Project Development Payment multiplied by that ratio. It applies first against the Continuation Amount and then, if larger, as a construction incentive against the earned Preconstruction Services Fee. Contractor will refund any portion of the Continuation Amount not credited within 15 business days after the Construction Agreement becomes effective; the earned Preconstruction Services Fee is not otherwise refundable.</w:t>
      </w:r>
    </w:p>
    <w:p>
      <w:pPr>
        <w:pStyle w:val="AgreementBody"/>
        <w:spacing w:before="0" w:after="80"/>
        <w:ind w:left="0"/>
      </w:pPr>
      <w:r>
        <w:rPr>
          <w:rFonts w:ascii="Times New Roman" w:hAnsi="Times New Roman" w:eastAsia="Times New Roman"/>
          <w:color w:val="000000"/>
          <w:sz w:val="21"/>
        </w:rPr>
        <w:t>The portion of a Full Construction Credit or Partial Construction Credit attributable to the earned Preconstruction Services Fee is a contractual construction incentive; it does not mean that the services were unearned. Each credit is nontransferable, applies only once and only to the Property, may not exceed the Construction Agreement price, and will carry forward if it exceeds the first construction payment. If the proposal states no expiration, it expires 30 calendar days after delivery.</w:t>
      </w:r>
    </w:p>
    <w:p>
      <w:pPr>
        <w:pStyle w:val="AgreementBody"/>
        <w:spacing w:before="0" w:after="80"/>
        <w:ind w:left="0"/>
      </w:pPr>
      <w:r>
        <w:rPr>
          <w:rFonts w:ascii="Times New Roman" w:hAnsi="Times New Roman" w:eastAsia="Times New Roman"/>
          <w:b/>
          <w:color w:val="000000"/>
          <w:sz w:val="21"/>
        </w:rPr>
        <w:t xml:space="preserve">Accounting presentation. </w:t>
      </w:r>
      <w:r>
        <w:rPr>
          <w:rFonts w:ascii="Times New Roman" w:hAnsi="Times New Roman" w:eastAsia="Times New Roman"/>
          <w:color w:val="000000"/>
          <w:sz w:val="21"/>
        </w:rPr>
        <w:t>To match Contractor's JobTread workflow, Contractor may post a line-item credit to the Phase 2 account and a corresponding charge, receipt, or prior-payment transfer under the Construction Agreement. This is an internal accounting transfer. Client receives the full economic benefit of the applicable Full Construction Credit or Partial Construction Credit and will not pay the same amount twice.</w:t>
      </w:r>
    </w:p>
    <w:p>
      <w:pPr>
        <w:pStyle w:val="AgreementBody"/>
        <w:spacing w:before="0" w:after="80"/>
        <w:ind w:left="0"/>
      </w:pPr>
      <w:r>
        <w:rPr>
          <w:rFonts w:ascii="Times New Roman" w:hAnsi="Times New Roman" w:eastAsia="Times New Roman"/>
          <w:b/>
          <w:color w:val="000000"/>
          <w:sz w:val="21"/>
        </w:rPr>
        <w:t xml:space="preserve">After a Construction Agreement. </w:t>
      </w:r>
      <w:r>
        <w:rPr>
          <w:rFonts w:ascii="Times New Roman" w:hAnsi="Times New Roman" w:eastAsia="Times New Roman"/>
          <w:color w:val="000000"/>
          <w:sz w:val="21"/>
        </w:rPr>
        <w:t>Once a Construction Agreement becomes effective and a Full Construction Credit or Partial Construction Credit is applied, the credited amount is governed by the Construction Agreement and applicable law. A later cancellation, rescission, or termination of the Construction Agreement does not revive a refund right under this Agreement except to the extent required by nonwaivable law, and Client may not receive both a credit and a refund of the same amount.</w:t>
      </w:r>
    </w:p>
    <w:p>
      <w:pPr>
        <w:pStyle w:val="AgreementBody"/>
        <w:spacing w:before="0" w:after="80"/>
        <w:ind w:left="0"/>
      </w:pPr>
      <w:r>
        <w:rPr>
          <w:rFonts w:ascii="Times New Roman" w:hAnsi="Times New Roman" w:eastAsia="Times New Roman"/>
          <w:b/>
          <w:color w:val="000000"/>
          <w:sz w:val="21"/>
        </w:rPr>
        <w:t xml:space="preserve">Client elects not to proceed after Phase 2. </w:t>
      </w:r>
      <w:r>
        <w:rPr>
          <w:rFonts w:ascii="Times New Roman" w:hAnsi="Times New Roman" w:eastAsia="Times New Roman"/>
          <w:color w:val="000000"/>
          <w:sz w:val="21"/>
        </w:rPr>
        <w:t>If Contractor has delivered the Final Phase 2 Package and Client declines the Construction Agreement, selects another contractor, or does not accept the proposal before it expires, Contractor will retain the fully earned Preconstruction Services Fee and refund the Continuation Amount, equal to 50% of the Project Development Payment. Contractor will issue the refund within 15 business days after Client's written election or proposal expiration, subject only to an itemized deduction for undisputed, separately authorized charges then due.</w:t>
      </w:r>
    </w:p>
    <w:p>
      <w:pPr>
        <w:pStyle w:val="AgreementBody"/>
        <w:spacing w:before="0" w:after="80"/>
        <w:ind w:left="0"/>
      </w:pPr>
      <w:r>
        <w:rPr>
          <w:rFonts w:ascii="Times New Roman" w:hAnsi="Times New Roman" w:eastAsia="Times New Roman"/>
          <w:b/>
          <w:color w:val="000000"/>
          <w:sz w:val="21"/>
        </w:rPr>
        <w:t xml:space="preserve">Termination before Phase 2 completion. </w:t>
      </w:r>
      <w:r>
        <w:rPr>
          <w:rFonts w:ascii="Times New Roman" w:hAnsi="Times New Roman" w:eastAsia="Times New Roman"/>
          <w:color w:val="000000"/>
          <w:sz w:val="21"/>
        </w:rPr>
        <w:t>If this Agreement ends before delivery of the Final Phase 2 Package, Contractor may retain only the earned portion of the Preconstruction Services Fee under the milestone schedule, plus approved noncancelable third-party charges and other undisputed amounts due. Contractor will provide an itemized final accounting and refund the remaining Preconstruction Services Fee and unapplied Continuation Amount within 15 business days. If Contractor terminates without Client default, Contractor may retain only compensation for usable services actually delivered and approved third-party charges.</w:t>
      </w:r>
    </w:p>
    <w:p>
      <w:pPr>
        <w:pStyle w:val="AgreementBody"/>
        <w:spacing w:before="0" w:after="80"/>
        <w:ind w:left="0"/>
      </w:pPr>
      <w:r>
        <w:rPr>
          <w:rFonts w:ascii="Times New Roman" w:hAnsi="Times New Roman" w:eastAsia="Times New Roman"/>
          <w:b/>
          <w:color w:val="000000"/>
          <w:sz w:val="21"/>
        </w:rPr>
        <w:t xml:space="preserve">Nature of retained amount. </w:t>
      </w:r>
      <w:r>
        <w:rPr>
          <w:rFonts w:ascii="Times New Roman" w:hAnsi="Times New Roman" w:eastAsia="Times New Roman"/>
          <w:color w:val="000000"/>
          <w:sz w:val="21"/>
        </w:rPr>
        <w:t>The amount retained after completed Phase 2 is compensation for defined services performed. It is not a forfeiture, cancellation penalty, or liquidated damages. The parties intend the fixed Preconstruction Services Fee to be commercially reasonable for the anticipated Phase 2 effort.</w:t>
      </w:r>
    </w:p>
    <w:p>
      <w:pPr>
        <w:pStyle w:val="AgreementBody"/>
        <w:spacing w:before="0" w:after="80"/>
        <w:ind w:left="0"/>
      </w:pPr>
      <w:r>
        <w:rPr>
          <w:rFonts w:ascii="Times New Roman" w:hAnsi="Times New Roman" w:eastAsia="Times New Roman"/>
          <w:b/>
          <w:color w:val="000000"/>
          <w:sz w:val="21"/>
        </w:rPr>
        <w:t xml:space="preserve">Late payments. </w:t>
      </w:r>
      <w:r>
        <w:rPr>
          <w:rFonts w:ascii="Times New Roman" w:hAnsi="Times New Roman" w:eastAsia="Times New Roman"/>
          <w:color w:val="000000"/>
          <w:sz w:val="21"/>
        </w:rPr>
        <w:t>Undisputed amounts more than 10 days overdue bear interest at the lesser of 12% per year or the maximum lawful rate and, to the extent permitted by law, a one-time late charge of 5% of the overdue amount. Contractor may suspend services while an undisputed payment remains overdue.</w:t>
      </w:r>
    </w:p>
    <w:tbl>
      <w:tblPr>
        <w:tblW w:type="dxa" w:w="10080"/>
        <w:jc w:val="left"/>
        <w:tblLayout w:type="fixed"/>
        <w:tblLook w:firstColumn="1" w:firstRow="1" w:lastColumn="0" w:lastRow="0" w:noHBand="0" w:noVBand="1" w:val="04A0"/>
        <w:tblInd w:type="dxa" w:w="150"/>
      </w:tblPr>
      <w:tblGrid>
        <w:gridCol w:w="10080"/>
      </w:tblGrid>
      <w:tr>
        <w:trPr>
          <w:cantSplit/>
        </w:trPr>
        <w:tc>
          <w:tcPr>
            <w:tcW w:type="dxa" w:w="10080"/>
            <w:shd w:fill="FFF2CC" w:val="clear"/>
            <w:tcBorders>
              <w:top w:val="single" w:sz="10" w:space="0" w:color="BF9000"/>
              <w:left w:val="single" w:sz="10" w:space="0" w:color="BF9000"/>
              <w:bottom w:val="single" w:sz="10" w:space="0" w:color="BF9000"/>
              <w:right w:val="single" w:sz="10" w:space="0" w:color="BF9000"/>
              <w:insideH w:val="single" w:sz="10" w:space="0" w:color="BF9000"/>
              <w:insideV w:val="single" w:sz="10" w:space="0" w:color="BF9000"/>
            </w:tcBorders>
            <w:tcMar>
              <w:top w:w="110" w:type="dxa"/>
              <w:bottom w:w="110" w:type="dxa"/>
              <w:start w:w="150" w:type="dxa"/>
              <w:end w:w="150" w:type="dxa"/>
            </w:tcMar>
          </w:tcPr>
          <w:p>
            <w:pPr>
              <w:spacing w:after="40"/>
            </w:pPr>
            <w:r>
              <w:rPr>
                <w:rFonts w:ascii="Times New Roman" w:hAnsi="Times New Roman" w:eastAsia="Times New Roman"/>
                <w:b/>
                <w:color w:val="203864"/>
                <w:sz w:val="21"/>
              </w:rPr>
              <w:t>CLIENT FINANCIAL ACKNOWLEDGMENT</w:t>
            </w:r>
          </w:p>
          <w:p>
            <w:pPr>
              <w:pStyle w:val="AgreementBody"/>
              <w:spacing w:after="0"/>
            </w:pPr>
            <w:r>
              <w:rPr>
                <w:rFonts w:ascii="Times New Roman" w:hAnsi="Times New Roman" w:eastAsia="Times New Roman"/>
                <w:color w:val="000000"/>
                <w:sz w:val="20"/>
              </w:rPr>
              <w:t>Client understands that after Contractor completes Phase 2, only 50% of the Project Development Payment is refundable if Client does not proceed, while 100% will be credited if Client timely enters the qualifying Construction Agreement. Client initials: ________ / ________</w:t>
            </w:r>
          </w:p>
        </w:tc>
      </w:tr>
    </w:tbl>
    <w:p>
      <w:pPr>
        <w:spacing w:after="20" w:before="0"/>
      </w:pPr>
    </w:p>
    <w:p>
      <w:pPr>
        <w:pStyle w:val="AgreementSection"/>
        <w:keepNext/>
        <w:numPr>
          <w:ilvl w:val="0"/>
          <w:numId w:val="10"/>
        </w:numPr>
      </w:pPr>
      <w:r>
        <w:rPr>
          <w:rFonts w:ascii="Times New Roman" w:hAnsi="Times New Roman" w:eastAsia="Times New Roman"/>
          <w:b/>
          <w:color w:val="203864"/>
          <w:sz w:val="23"/>
        </w:rPr>
        <w:t>STATUTORY AND CONTRACTUAL RIGHT TO CANCEL</w:t>
      </w:r>
    </w:p>
    <w:p>
      <w:pPr>
        <w:pStyle w:val="AgreementBody"/>
        <w:spacing w:before="0" w:after="80"/>
        <w:ind w:left="0"/>
      </w:pPr>
      <w:r>
        <w:rPr>
          <w:rFonts w:ascii="Times New Roman" w:hAnsi="Times New Roman" w:eastAsia="Times New Roman"/>
          <w:color w:val="000000"/>
          <w:sz w:val="21"/>
        </w:rPr>
        <w:t>Contractor grants Client the cancellation right stated immediately above the signature lines and in Exhibit C. Client may cancel without penalty or obligation before the stated deadline and will receive a full refund of all amounts paid under this Agreement. Any longer or additional nonwaivable right under applicable law controls. Contractor will not begin nonemergency Phase 2 Services until the cancellation period has expired.</w:t>
      </w:r>
    </w:p>
    <w:p>
      <w:pPr>
        <w:pStyle w:val="AgreementBody"/>
        <w:spacing w:before="0" w:after="80"/>
        <w:ind w:left="0"/>
      </w:pPr>
      <w:r>
        <w:rPr>
          <w:rFonts w:ascii="Times New Roman" w:hAnsi="Times New Roman" w:eastAsia="Times New Roman"/>
          <w:color w:val="000000"/>
          <w:sz w:val="21"/>
        </w:rPr>
        <w:t>Contractor must furnish each signing Client two completed copies of Exhibit C before that Client signs. The Transaction Date is the completed date stated in Exhibit C and may not precede any Client's signature date. All Clients should sign on that date; if any Client signs later, Contractor must reissue two completed copies to each Client using the later date and corresponding later deadline, which controls. Client acknowledges that Contractor orally informed Client of this right at signing. Client initials: ________ / ________</w:t>
      </w:r>
    </w:p>
    <w:p>
      <w:pPr>
        <w:pStyle w:val="AgreementSection"/>
        <w:keepNext/>
        <w:numPr>
          <w:ilvl w:val="0"/>
          <w:numId w:val="10"/>
        </w:numPr>
      </w:pPr>
      <w:r>
        <w:rPr>
          <w:rFonts w:ascii="Times New Roman" w:hAnsi="Times New Roman" w:eastAsia="Times New Roman"/>
          <w:b/>
          <w:color w:val="203864"/>
          <w:sz w:val="23"/>
        </w:rPr>
        <w:t>PRELIMINARY AND FINAL PRICING</w:t>
      </w:r>
    </w:p>
    <w:p>
      <w:pPr>
        <w:pStyle w:val="AgreementBody"/>
        <w:spacing w:before="0" w:after="80"/>
        <w:ind w:left="0"/>
      </w:pPr>
      <w:r>
        <w:rPr>
          <w:rFonts w:ascii="Times New Roman" w:hAnsi="Times New Roman" w:eastAsia="Times New Roman"/>
          <w:color w:val="000000"/>
          <w:sz w:val="21"/>
        </w:rPr>
        <w:t>Contractor will exercise the reasonable skill and care ordinarily used by residential design-build contractors performing comparable Phase 2 services. All preliminary or proposed construction pricing developed during Phase 1 or Phase 2 is a professional estimate, not a fixed price, guaranteed maximum price, warranty, or promise that the Project can be constructed for Client's preferred budget. Construction pricing may change due to design development; selections; code, permit, or consultant requirements; concealed or unknown conditions; incomplete information; trade, labor, or material availability; quote expiration; and market conditions.</w:t>
      </w:r>
    </w:p>
    <w:p>
      <w:pPr>
        <w:pStyle w:val="AgreementBody"/>
        <w:spacing w:before="0" w:after="80"/>
        <w:ind w:left="0"/>
      </w:pPr>
      <w:r>
        <w:rPr>
          <w:rFonts w:ascii="Times New Roman" w:hAnsi="Times New Roman" w:eastAsia="Times New Roman"/>
          <w:color w:val="000000"/>
          <w:sz w:val="21"/>
        </w:rPr>
        <w:t>The only binding construction scope, price, schedule, and payment terms will be those in a Construction Agreement signed by both parties. If final proposed pricing exceeds Client's objective, Client may decline construction and receive the refund described in Section 3; the difference alone is not a breach of this Agreement.</w:t>
      </w:r>
    </w:p>
    <w:p>
      <w:pPr>
        <w:pStyle w:val="AgreementSection"/>
        <w:keepNext/>
        <w:numPr>
          <w:ilvl w:val="0"/>
          <w:numId w:val="10"/>
        </w:numPr>
      </w:pPr>
      <w:r>
        <w:rPr>
          <w:rFonts w:ascii="Times New Roman" w:hAnsi="Times New Roman" w:eastAsia="Times New Roman"/>
          <w:b/>
          <w:color w:val="203864"/>
          <w:sz w:val="23"/>
        </w:rPr>
        <w:t>CLIENT COOPERATION AND DECISIONS</w:t>
      </w:r>
    </w:p>
    <w:p>
      <w:pPr>
        <w:pStyle w:val="AgreementClause"/>
        <w:spacing w:after="60"/>
        <w:numPr>
          <w:ilvl w:val="0"/>
          <w:numId w:val="14"/>
        </w:numPr>
      </w:pPr>
      <w:r>
        <w:rPr>
          <w:rFonts w:ascii="Times New Roman" w:hAnsi="Times New Roman" w:eastAsia="Times New Roman"/>
          <w:b/>
          <w:color w:val="000000"/>
          <w:sz w:val="20"/>
        </w:rPr>
        <w:t xml:space="preserve">Information and access. </w:t>
      </w:r>
      <w:r>
        <w:rPr>
          <w:rFonts w:ascii="Times New Roman" w:hAnsi="Times New Roman" w:eastAsia="Times New Roman"/>
          <w:color w:val="000000"/>
          <w:sz w:val="20"/>
        </w:rPr>
        <w:t>Client will provide timely Property access and complete, accurate information reasonably requested, including ownership, surveys, reports, HOA restrictions, existing plans, known conditions, and budget constraints. Contractor may rely on information Client supplies unless it is obviously unreliable.</w:t>
      </w:r>
    </w:p>
    <w:p>
      <w:pPr>
        <w:pStyle w:val="AgreementClause"/>
        <w:spacing w:after="60"/>
        <w:numPr>
          <w:ilvl w:val="0"/>
          <w:numId w:val="14"/>
        </w:numPr>
      </w:pPr>
      <w:r>
        <w:rPr>
          <w:rFonts w:ascii="Times New Roman" w:hAnsi="Times New Roman" w:eastAsia="Times New Roman"/>
          <w:b/>
          <w:color w:val="000000"/>
          <w:sz w:val="20"/>
        </w:rPr>
        <w:t xml:space="preserve">Decision authority. </w:t>
      </w:r>
      <w:r>
        <w:rPr>
          <w:rFonts w:ascii="Times New Roman" w:hAnsi="Times New Roman" w:eastAsia="Times New Roman"/>
          <w:color w:val="000000"/>
          <w:sz w:val="20"/>
        </w:rPr>
        <w:t>Client represents that all record owners have signed or that the signer has authority to bind them. Client will designate one decision-maker and provide consolidated approvals and comments within five business days unless the parties agree otherwise.</w:t>
      </w:r>
    </w:p>
    <w:p>
      <w:pPr>
        <w:pStyle w:val="AgreementClause"/>
        <w:spacing w:after="60"/>
        <w:numPr>
          <w:ilvl w:val="0"/>
          <w:numId w:val="14"/>
        </w:numPr>
      </w:pPr>
      <w:r>
        <w:rPr>
          <w:rFonts w:ascii="Times New Roman" w:hAnsi="Times New Roman" w:eastAsia="Times New Roman"/>
          <w:b/>
          <w:color w:val="000000"/>
          <w:sz w:val="20"/>
        </w:rPr>
        <w:t xml:space="preserve">Delays. </w:t>
      </w:r>
      <w:r>
        <w:rPr>
          <w:rFonts w:ascii="Times New Roman" w:hAnsi="Times New Roman" w:eastAsia="Times New Roman"/>
          <w:color w:val="000000"/>
          <w:sz w:val="20"/>
        </w:rPr>
        <w:t>Client delay, changed decisions, unavailable products, consultant response time, or governmental review extends estimated Phase 2 dates and may require additional services. No Phase 2 schedule is guaranteed.</w:t>
      </w:r>
    </w:p>
    <w:p>
      <w:pPr>
        <w:pStyle w:val="AgreementClause"/>
        <w:spacing w:after="60"/>
        <w:numPr>
          <w:ilvl w:val="0"/>
          <w:numId w:val="14"/>
        </w:numPr>
      </w:pPr>
      <w:r>
        <w:rPr>
          <w:rFonts w:ascii="Times New Roman" w:hAnsi="Times New Roman" w:eastAsia="Times New Roman"/>
          <w:b/>
          <w:color w:val="000000"/>
          <w:sz w:val="20"/>
        </w:rPr>
        <w:t xml:space="preserve">Selections and availability. </w:t>
      </w:r>
      <w:r>
        <w:rPr>
          <w:rFonts w:ascii="Times New Roman" w:hAnsi="Times New Roman" w:eastAsia="Times New Roman"/>
          <w:color w:val="000000"/>
          <w:sz w:val="20"/>
        </w:rPr>
        <w:t>A selection or allowance does not reserve or purchase a product. Price and availability remain subject to confirmation under the Construction Agreement.</w:t>
      </w:r>
    </w:p>
    <w:p>
      <w:pPr>
        <w:pStyle w:val="AgreementSection"/>
        <w:keepNext/>
        <w:numPr>
          <w:ilvl w:val="0"/>
          <w:numId w:val="10"/>
        </w:numPr>
      </w:pPr>
      <w:r>
        <w:rPr>
          <w:rFonts w:ascii="Times New Roman" w:hAnsi="Times New Roman" w:eastAsia="Times New Roman"/>
          <w:b/>
          <w:color w:val="203864"/>
          <w:sz w:val="23"/>
        </w:rPr>
        <w:t>THIRD-PARTY SERVICES AND CHARGES</w:t>
      </w:r>
    </w:p>
    <w:p>
      <w:pPr>
        <w:pStyle w:val="AgreementBody"/>
        <w:spacing w:before="0" w:after="80"/>
        <w:ind w:left="0"/>
      </w:pPr>
      <w:r>
        <w:rPr>
          <w:rFonts w:ascii="Times New Roman" w:hAnsi="Times New Roman" w:eastAsia="Times New Roman"/>
          <w:color w:val="000000"/>
          <w:sz w:val="21"/>
        </w:rPr>
        <w:t>Client is responsible for third-party services or expenses only if included in the Project Summary or authorized in writing before Contractor incurs them. The authorization must identify the provider or service, estimated amount, and any Contractor coordination fee or markup. Approved third-party charges are additional to the Project Development Payment, become nonrefundable when they cannot be canceled without charge, and are not part of a Full Construction Credit or Partial Construction Credit unless the Construction Agreement expressly says otherwise.</w:t>
      </w:r>
    </w:p>
    <w:p>
      <w:pPr>
        <w:pStyle w:val="AgreementBody"/>
        <w:spacing w:before="0" w:after="80"/>
        <w:ind w:left="0"/>
      </w:pPr>
      <w:r>
        <w:rPr>
          <w:rFonts w:ascii="Times New Roman" w:hAnsi="Times New Roman" w:eastAsia="Times New Roman"/>
          <w:color w:val="000000"/>
          <w:sz w:val="21"/>
        </w:rPr>
        <w:t>Contractor may engage licensed design professionals as its consultants or coordinate Client-retained consultants. The Project Summary or written authorization will identify the contractual relationship. Contractor does not guarantee the work, timing, or approval of a Client-retained consultant or governmental authority.</w:t>
      </w:r>
    </w:p>
    <w:p>
      <w:pPr>
        <w:pStyle w:val="AgreementSection"/>
        <w:keepNext/>
        <w:numPr>
          <w:ilvl w:val="0"/>
          <w:numId w:val="10"/>
        </w:numPr>
      </w:pPr>
      <w:r>
        <w:rPr>
          <w:rFonts w:ascii="Times New Roman" w:hAnsi="Times New Roman" w:eastAsia="Times New Roman"/>
          <w:b/>
          <w:color w:val="203864"/>
          <w:sz w:val="23"/>
        </w:rPr>
        <w:t>DRAWINGS, PLANS, AND INTELLECTUAL PROPERTY</w:t>
      </w:r>
    </w:p>
    <w:p>
      <w:pPr>
        <w:pStyle w:val="AgreementBody"/>
        <w:spacing w:before="0" w:after="80"/>
        <w:ind w:left="0"/>
      </w:pPr>
      <w:r>
        <w:rPr>
          <w:rFonts w:ascii="Times New Roman" w:hAnsi="Times New Roman" w:eastAsia="Times New Roman"/>
          <w:color w:val="000000"/>
          <w:sz w:val="21"/>
        </w:rPr>
        <w:t>Contractor and its design professionals retain ownership of and all copyrights and other rights in their drawings, concepts, renderings, specifications, estimates, templates, and other instruments of service. Delivery of a copy and payment of the Preconstruction Services Fee do not transfer copyright or ownership of the source files.</w:t>
      </w:r>
    </w:p>
    <w:p>
      <w:pPr>
        <w:pStyle w:val="AgreementBody"/>
        <w:spacing w:before="0" w:after="80"/>
        <w:ind w:left="0"/>
      </w:pPr>
      <w:r>
        <w:rPr>
          <w:rFonts w:ascii="Times New Roman" w:hAnsi="Times New Roman" w:eastAsia="Times New Roman"/>
          <w:color w:val="000000"/>
          <w:sz w:val="21"/>
        </w:rPr>
        <w:t>After payment of all amounts due, Client may retain the client-facing Final Phase 2 Package for personal evaluation and records concerning the Property. Documents marked conceptual, preliminary, or not for construction may not be used for bidding, permitting, construction by another contractor, or third-party reliance. If the parties sign the Construction Agreement, rights to use construction documents are governed by that agreement and the originating professional's terms.</w:t>
      </w:r>
    </w:p>
    <w:p>
      <w:pPr>
        <w:pStyle w:val="AgreementBody"/>
        <w:spacing w:before="0" w:after="80"/>
        <w:ind w:left="0"/>
      </w:pPr>
      <w:r>
        <w:rPr>
          <w:rFonts w:ascii="Times New Roman" w:hAnsi="Times New Roman" w:eastAsia="Times New Roman"/>
          <w:color w:val="000000"/>
          <w:sz w:val="21"/>
        </w:rPr>
        <w:t>Client may request a separate written, one-Property design-release license for identified documents. Any release fee, permitted use, required professional review, and risk allocation must be stated in that license. Unauthorized alteration, reuse, or distribution is at Client's risk and without liability to Contractor or the originating professional.</w:t>
      </w:r>
    </w:p>
    <w:p>
      <w:pPr>
        <w:pStyle w:val="AgreementSection"/>
        <w:keepNext/>
        <w:numPr>
          <w:ilvl w:val="0"/>
          <w:numId w:val="10"/>
        </w:numPr>
      </w:pPr>
      <w:r>
        <w:rPr>
          <w:rFonts w:ascii="Times New Roman" w:hAnsi="Times New Roman" w:eastAsia="Times New Roman"/>
          <w:b/>
          <w:color w:val="203864"/>
          <w:sz w:val="23"/>
        </w:rPr>
        <w:t>CHANGES AND ADDITIONAL SERVICES</w:t>
      </w:r>
    </w:p>
    <w:p>
      <w:pPr>
        <w:pStyle w:val="AgreementBody"/>
        <w:spacing w:before="0" w:after="80"/>
        <w:ind w:left="0"/>
      </w:pPr>
      <w:r>
        <w:rPr>
          <w:rFonts w:ascii="Times New Roman" w:hAnsi="Times New Roman" w:eastAsia="Times New Roman"/>
          <w:color w:val="000000"/>
          <w:sz w:val="21"/>
        </w:rPr>
        <w:t>A material expansion of the Project, redesign after approval, added project areas, additional revision rounds, newly required consultant work, or services excluded above require a written additional-services authorization stating the added scope, fee, and schedule effect. Email or JobTread approval is effective only if it clearly identifies those terms and is affirmatively accepted by authorized representatives of both parties. Contractor is not required to perform added services before authorization and payment arrangements are complete.</w:t>
      </w:r>
    </w:p>
    <w:p>
      <w:pPr>
        <w:pStyle w:val="AgreementSection"/>
        <w:keepNext/>
        <w:numPr>
          <w:ilvl w:val="0"/>
          <w:numId w:val="10"/>
        </w:numPr>
      </w:pPr>
      <w:r>
        <w:rPr>
          <w:rFonts w:ascii="Times New Roman" w:hAnsi="Times New Roman" w:eastAsia="Times New Roman"/>
          <w:b/>
          <w:color w:val="203864"/>
          <w:sz w:val="23"/>
        </w:rPr>
        <w:t>SUSPENSION AND TERMINATION</w:t>
      </w:r>
    </w:p>
    <w:p>
      <w:pPr>
        <w:pStyle w:val="AgreementBody"/>
        <w:spacing w:before="0" w:after="80"/>
        <w:ind w:left="0"/>
      </w:pPr>
      <w:r>
        <w:rPr>
          <w:rFonts w:ascii="Times New Roman" w:hAnsi="Times New Roman" w:eastAsia="Times New Roman"/>
          <w:color w:val="000000"/>
          <w:sz w:val="21"/>
        </w:rPr>
        <w:t>Client may terminate this Agreement at any time by written notice, subject to Sections 3 and 4. Contractor may suspend services for nonpayment, failure to provide required information or decisions, denial of reasonable Property access, unsafe conditions, unlawful instructions, or other material breach. Except when immediate suspension is reasonably necessary for safety or legal compliance, Contractor will give written notice and five business days to cure.</w:t>
      </w:r>
    </w:p>
    <w:p>
      <w:pPr>
        <w:pStyle w:val="AgreementBody"/>
        <w:spacing w:before="0" w:after="80"/>
        <w:ind w:left="0"/>
      </w:pPr>
      <w:r>
        <w:rPr>
          <w:rFonts w:ascii="Times New Roman" w:hAnsi="Times New Roman" w:eastAsia="Times New Roman"/>
          <w:color w:val="000000"/>
          <w:sz w:val="21"/>
        </w:rPr>
        <w:t>If Client does not provide a requested decision or response for 15 business days, Contractor may suspend Phase 2 and revise its schedule and pricing assumptions. If inactivity continues for 30 additional days after written notice, Contractor may terminate and issue the accounting required by Section 3. Payment, credit/refund, intellectual-property, dispute-resolution, indemnity, and other provisions that by their nature apply after termination survive.</w:t>
      </w:r>
    </w:p>
    <w:p>
      <w:pPr>
        <w:pStyle w:val="AgreementSection"/>
        <w:keepNext/>
        <w:numPr>
          <w:ilvl w:val="0"/>
          <w:numId w:val="10"/>
        </w:numPr>
      </w:pPr>
      <w:r>
        <w:rPr>
          <w:rFonts w:ascii="Times New Roman" w:hAnsi="Times New Roman" w:eastAsia="Times New Roman"/>
          <w:b/>
          <w:color w:val="203864"/>
          <w:sz w:val="23"/>
        </w:rPr>
        <w:t>RESULTS; PROFESSIONAL STANDARD; REGULATED SERVICES</w:t>
      </w:r>
    </w:p>
    <w:p>
      <w:pPr>
        <w:pStyle w:val="AgreementBody"/>
        <w:spacing w:before="0" w:after="80"/>
        <w:ind w:left="0"/>
      </w:pPr>
      <w:r>
        <w:rPr>
          <w:rFonts w:ascii="Times New Roman" w:hAnsi="Times New Roman" w:eastAsia="Times New Roman"/>
          <w:color w:val="000000"/>
          <w:sz w:val="21"/>
        </w:rPr>
        <w:t>Contractor will use reasonable professional judgment and experience in providing Phase 2 opinions, estimates, and recommendations, but does not guarantee a permit, product availability, financing, appraisal, construction agreement, construction outcome, or governmental approval. Conceptual measurements and documents are not surveys or permit/construction documents unless expressly identified and completed for that purpose.</w:t>
      </w:r>
    </w:p>
    <w:p>
      <w:pPr>
        <w:pStyle w:val="AgreementBody"/>
        <w:spacing w:before="0" w:after="80"/>
        <w:ind w:left="0"/>
      </w:pPr>
      <w:r>
        <w:rPr>
          <w:rFonts w:ascii="Times New Roman" w:hAnsi="Times New Roman" w:eastAsia="Times New Roman"/>
          <w:color w:val="000000"/>
          <w:sz w:val="21"/>
        </w:rPr>
        <w:t>Contractor does not represent itself as an architect or engineer unless the Project Summary expressly identifies a properly licensed and authorized professional. Work requiring architectural, engineering, surveying, or other regulated professional services will be performed by appropriately licensed professionals. No conceptual document may be used for permit or construction until finalized and, when required, signed and sealed by the responsible professional.</w:t>
      </w:r>
    </w:p>
    <w:p>
      <w:pPr>
        <w:pStyle w:val="AgreementSection"/>
        <w:keepNext/>
        <w:numPr>
          <w:ilvl w:val="0"/>
          <w:numId w:val="10"/>
        </w:numPr>
      </w:pPr>
      <w:r>
        <w:rPr>
          <w:rFonts w:ascii="Times New Roman" w:hAnsi="Times New Roman" w:eastAsia="Times New Roman"/>
          <w:b/>
          <w:color w:val="203864"/>
          <w:sz w:val="23"/>
        </w:rPr>
        <w:t>DISPUTE RESOLUTION; BINDING ARBITRATION; JURY WAIVER</w:t>
      </w:r>
    </w:p>
    <w:p>
      <w:pPr>
        <w:pStyle w:val="AgreementBody"/>
        <w:spacing w:before="0" w:after="80"/>
        <w:ind w:left="0"/>
      </w:pPr>
      <w:r>
        <w:rPr>
          <w:rFonts w:ascii="Times New Roman" w:hAnsi="Times New Roman" w:eastAsia="Times New Roman"/>
          <w:b/>
          <w:color w:val="000000"/>
          <w:sz w:val="21"/>
        </w:rPr>
        <w:t xml:space="preserve">Good-faith conference. </w:t>
      </w:r>
      <w:r>
        <w:rPr>
          <w:rFonts w:ascii="Times New Roman" w:hAnsi="Times New Roman" w:eastAsia="Times New Roman"/>
          <w:color w:val="000000"/>
          <w:sz w:val="21"/>
        </w:rPr>
        <w:t>A party asserting a dispute will give written notice describing it. Authorized representatives will meet in good faith within 10 business days after receipt unless urgent relief is needed.</w:t>
      </w:r>
    </w:p>
    <w:p>
      <w:pPr>
        <w:pStyle w:val="AgreementBody"/>
        <w:spacing w:before="0" w:after="80"/>
        <w:ind w:left="0"/>
      </w:pPr>
      <w:r>
        <w:rPr>
          <w:rFonts w:ascii="Times New Roman" w:hAnsi="Times New Roman" w:eastAsia="Times New Roman"/>
          <w:b/>
          <w:color w:val="000000"/>
          <w:sz w:val="21"/>
        </w:rPr>
        <w:t xml:space="preserve">Binding arbitration. </w:t>
      </w:r>
      <w:r>
        <w:rPr>
          <w:rFonts w:ascii="Times New Roman" w:hAnsi="Times New Roman" w:eastAsia="Times New Roman"/>
          <w:color w:val="000000"/>
          <w:sz w:val="21"/>
        </w:rPr>
        <w:t>Except an eligible small-claims matter, a lien or bond filing needed to preserve rights, or a request for temporary or provisional relief, any dispute arising from this Agreement will be resolved by binding arbitration in the Washington county where the Property is located under chapter 7.04A RCW and, to the extent applicable, the Federal Arbitration Act. The parties will select one neutral arbitrator. If they do not agree within 15 days after an arbitration demand, either may request appointment under RCW 7.04A.110. The Washington Superior Court Civil Arbitration Rules govern the arbitration procedure, except that references to a court, judge, or court administrator mean the arbitrator as context requires, no court-annexed monetary limit applies, and chapter 7.04A RCW and this Agreement control any conflict.</w:t>
      </w:r>
    </w:p>
    <w:p>
      <w:pPr>
        <w:pStyle w:val="AgreementBody"/>
        <w:spacing w:before="0" w:after="80"/>
        <w:ind w:left="0"/>
      </w:pPr>
      <w:r>
        <w:rPr>
          <w:rFonts w:ascii="Times New Roman" w:hAnsi="Times New Roman" w:eastAsia="Times New Roman"/>
          <w:b/>
          <w:color w:val="000000"/>
          <w:sz w:val="21"/>
        </w:rPr>
        <w:t xml:space="preserve">Costs and remedies. </w:t>
      </w:r>
      <w:r>
        <w:rPr>
          <w:rFonts w:ascii="Times New Roman" w:hAnsi="Times New Roman" w:eastAsia="Times New Roman"/>
          <w:color w:val="000000"/>
          <w:sz w:val="21"/>
        </w:rPr>
        <w:t>Client will not be required to advance arbitration filing or neutral fees exceeding the filing fee for a comparable superior-court action; Contractor will advance the excess, subject to reallocation in the final award to the extent permitted by law. The arbitrator may award any remedy and reasonable attorney fees authorized by this Agreement or applicable law. Fees after settlement are governed by the settlement. Statutory consumer remedies are not waived. Judgment on the award may be entered in any court with jurisdiction.</w:t>
      </w:r>
    </w:p>
    <w:p>
      <w:pPr>
        <w:pStyle w:val="AgreementBody"/>
        <w:spacing w:before="0" w:after="80"/>
        <w:ind w:left="0"/>
      </w:pPr>
      <w:r>
        <w:rPr>
          <w:rFonts w:ascii="Times New Roman" w:hAnsi="Times New Roman" w:eastAsia="Times New Roman"/>
          <w:color w:val="000000"/>
          <w:sz w:val="21"/>
        </w:rPr>
        <w:t>Contractor's design professionals, subcontractors, suppliers, agents, and insurers are intended beneficiaries of this section only when a claim against them arises from the same facts or Project. Filing to preserve a lien, bond claim, limitations defense, or provisional remedy does not waive arbitration.</w:t>
      </w:r>
    </w:p>
    <w:tbl>
      <w:tblPr>
        <w:tblW w:type="dxa" w:w="10080"/>
        <w:jc w:val="left"/>
        <w:tblLayout w:type="fixed"/>
        <w:tblLook w:firstColumn="1" w:firstRow="1" w:lastColumn="0" w:lastRow="0" w:noHBand="0" w:noVBand="1" w:val="04A0"/>
        <w:tblInd w:type="dxa" w:w="150"/>
      </w:tblPr>
      <w:tblGrid>
        <w:gridCol w:w="10080"/>
      </w:tblGrid>
      <w:tr>
        <w:trPr>
          <w:cantSplit/>
        </w:trPr>
        <w:tc>
          <w:tcPr>
            <w:tcW w:type="dxa" w:w="10080"/>
            <w:shd w:fill="FFF2CC" w:val="clear"/>
            <w:tcBorders>
              <w:top w:val="single" w:sz="10" w:space="0" w:color="BF9000"/>
              <w:left w:val="single" w:sz="10" w:space="0" w:color="BF9000"/>
              <w:bottom w:val="single" w:sz="10" w:space="0" w:color="BF9000"/>
              <w:right w:val="single" w:sz="10" w:space="0" w:color="BF9000"/>
              <w:insideH w:val="single" w:sz="10" w:space="0" w:color="BF9000"/>
              <w:insideV w:val="single" w:sz="10" w:space="0" w:color="BF9000"/>
            </w:tcBorders>
            <w:tcMar>
              <w:top w:w="110" w:type="dxa"/>
              <w:bottom w:w="110" w:type="dxa"/>
              <w:start w:w="150" w:type="dxa"/>
              <w:end w:w="150" w:type="dxa"/>
            </w:tcMar>
          </w:tcPr>
          <w:p>
            <w:pPr>
              <w:spacing w:after="40"/>
            </w:pPr>
            <w:r>
              <w:rPr>
                <w:rFonts w:ascii="Times New Roman" w:hAnsi="Times New Roman" w:eastAsia="Times New Roman"/>
                <w:b/>
                <w:color w:val="203864"/>
                <w:sz w:val="21"/>
              </w:rPr>
              <w:t>BINDING ARBITRATION AND JURY-TRIAL WAIVER</w:t>
            </w:r>
          </w:p>
          <w:p>
            <w:pPr>
              <w:pStyle w:val="AgreementBody"/>
              <w:spacing w:after="0"/>
            </w:pPr>
            <w:r>
              <w:rPr>
                <w:rFonts w:ascii="Times New Roman" w:hAnsi="Times New Roman" w:eastAsia="Times New Roman"/>
                <w:b/>
                <w:color w:val="000000"/>
                <w:sz w:val="20"/>
              </w:rPr>
              <w:t>BY AGREEING TO ARBITRATION, THE PARTIES WAIVE THE RIGHT TO HAVE AN ARBITRABLE DISPUTE DECIDED BY A JUDGE OR JURY. Client initials: ________ / ________</w:t>
            </w:r>
          </w:p>
        </w:tc>
      </w:tr>
    </w:tbl>
    <w:p>
      <w:pPr>
        <w:spacing w:after="20" w:before="0"/>
      </w:pPr>
    </w:p>
    <w:p>
      <w:pPr>
        <w:pStyle w:val="AgreementSection"/>
        <w:keepNext/>
        <w:numPr>
          <w:ilvl w:val="0"/>
          <w:numId w:val="10"/>
        </w:numPr>
      </w:pPr>
      <w:r>
        <w:rPr>
          <w:rFonts w:ascii="Times New Roman" w:hAnsi="Times New Roman" w:eastAsia="Times New Roman"/>
          <w:b/>
          <w:color w:val="203864"/>
          <w:sz w:val="23"/>
        </w:rPr>
        <w:t>INDEMNIFICATION</w:t>
      </w:r>
    </w:p>
    <w:p>
      <w:pPr>
        <w:pStyle w:val="AgreementBody"/>
        <w:spacing w:before="0" w:after="80"/>
        <w:ind w:left="0"/>
      </w:pPr>
      <w:r>
        <w:rPr>
          <w:rFonts w:ascii="Times New Roman" w:hAnsi="Times New Roman" w:eastAsia="Times New Roman"/>
          <w:color w:val="000000"/>
          <w:sz w:val="21"/>
        </w:rPr>
        <w:t>To the fullest extent permitted by law, Client will indemnify and hold Contractor and its members, managers, employees, and agents harmless from third-party claims, damages, and reasonable costs only to the extent caused by (a) materially inaccurate or incomplete information supplied by Client; (b) Client's unauthorized alteration, reuse, or distribution of project documents; (c) work performed by persons retained, directed, or controlled by Client and not by Contractor; or (d) Client's material breach, negligence, or willful misconduct. This obligation does not apply to the extent caused by an indemnitee's negligence, willful misconduct, or breach. Nothing requires Client to indemnify an indemnitee for that indemnitee's sole negligence or beyond the extent permitted by RCW 4.24.115.</w:t>
      </w:r>
    </w:p>
    <w:p>
      <w:pPr>
        <w:pStyle w:val="AgreementSection"/>
        <w:keepNext/>
        <w:numPr>
          <w:ilvl w:val="0"/>
          <w:numId w:val="10"/>
        </w:numPr>
      </w:pPr>
      <w:r>
        <w:rPr>
          <w:rFonts w:ascii="Times New Roman" w:hAnsi="Times New Roman" w:eastAsia="Times New Roman"/>
          <w:b/>
          <w:color w:val="203864"/>
          <w:sz w:val="23"/>
        </w:rPr>
        <w:t>CONSENT TO RECORD COMMUNICATIONS</w:t>
      </w:r>
    </w:p>
    <w:p>
      <w:pPr>
        <w:pStyle w:val="AgreementBody"/>
        <w:spacing w:before="0" w:after="80"/>
        <w:ind w:left="0"/>
      </w:pPr>
      <w:r>
        <w:rPr>
          <w:rFonts w:ascii="Times New Roman" w:hAnsi="Times New Roman" w:eastAsia="Times New Roman"/>
          <w:color w:val="000000"/>
          <w:sz w:val="21"/>
        </w:rPr>
        <w:t>Contractor may retain written communications and may record telephone calls, video meetings, in-person meetings, automated transcripts, or AI-assisted meeting records for project documentation, quality assurance, and training only after providing notice and obtaining all consent required by applicable law. Contractor will announce a recording at the start, preserve the announcement in the recording, and repeat notice when a new participant joins. A person may decline; recording must stop or that person must leave before recording continues. A Client signature does not supply consent for a nonparty. Nothing waives chapter 9.73 RCW or another applicable privacy law.</w:t>
      </w:r>
    </w:p>
    <w:p>
      <w:pPr>
        <w:pStyle w:val="AgreementSection"/>
        <w:keepNext/>
        <w:numPr>
          <w:ilvl w:val="0"/>
          <w:numId w:val="10"/>
        </w:numPr>
      </w:pPr>
      <w:r>
        <w:rPr>
          <w:rFonts w:ascii="Times New Roman" w:hAnsi="Times New Roman" w:eastAsia="Times New Roman"/>
          <w:b/>
          <w:color w:val="203864"/>
          <w:sz w:val="23"/>
        </w:rPr>
        <w:t>NO AFFILIATE OR PERSONAL LIABILITY</w:t>
      </w:r>
    </w:p>
    <w:p>
      <w:pPr>
        <w:pStyle w:val="AgreementBody"/>
        <w:spacing w:before="0" w:after="80"/>
        <w:ind w:left="0"/>
      </w:pPr>
      <w:r>
        <w:rPr>
          <w:rFonts w:ascii="Times New Roman" w:hAnsi="Times New Roman" w:eastAsia="Times New Roman"/>
          <w:color w:val="000000"/>
          <w:sz w:val="21"/>
        </w:rPr>
        <w:t>MyGCnow Construction, a trade name (DBA) of MyGCnow LLC, is the sole Contractor under this Agreement. To the maximum extent permitted by law, no officer, member, manager, employee, affiliate, or advisor is individually a contractor or personally liable for Contractor's obligations solely by reason of that role. This section does not limit liability that applicable law does not permit a party to waive.</w:t>
      </w:r>
    </w:p>
    <w:p>
      <w:pPr>
        <w:pStyle w:val="AgreementSection"/>
        <w:keepNext/>
        <w:numPr>
          <w:ilvl w:val="0"/>
          <w:numId w:val="10"/>
        </w:numPr>
      </w:pPr>
      <w:r>
        <w:rPr>
          <w:rFonts w:ascii="Times New Roman" w:hAnsi="Times New Roman" w:eastAsia="Times New Roman"/>
          <w:b/>
          <w:color w:val="203864"/>
          <w:sz w:val="23"/>
        </w:rPr>
        <w:t>INDEPENDENT CONTRACTOR</w:t>
      </w:r>
    </w:p>
    <w:p>
      <w:pPr>
        <w:pStyle w:val="AgreementBody"/>
        <w:spacing w:before="0" w:after="80"/>
        <w:ind w:left="0"/>
      </w:pPr>
      <w:r>
        <w:rPr>
          <w:rFonts w:ascii="Times New Roman" w:hAnsi="Times New Roman" w:eastAsia="Times New Roman"/>
          <w:color w:val="000000"/>
          <w:sz w:val="21"/>
        </w:rPr>
        <w:t>Contractor is an independent contractor and is not Client's employee, partner, joint venturer, franchisee, or agent. Neither party may bind the other to a contract or obligation without prior written authority. Nothing authorizes Contractor to sign permit, financing, consultant, or purchase documents in Client's name.</w:t>
      </w:r>
    </w:p>
    <w:p>
      <w:pPr>
        <w:pStyle w:val="AgreementSection"/>
        <w:keepNext/>
        <w:numPr>
          <w:ilvl w:val="0"/>
          <w:numId w:val="10"/>
        </w:numPr>
      </w:pPr>
      <w:r>
        <w:rPr>
          <w:rFonts w:ascii="Times New Roman" w:hAnsi="Times New Roman" w:eastAsia="Times New Roman"/>
          <w:b/>
          <w:color w:val="203864"/>
          <w:sz w:val="23"/>
        </w:rPr>
        <w:t>NOTICES AND ELECTRONIC SIGNATURES</w:t>
      </w:r>
    </w:p>
    <w:p>
      <w:pPr>
        <w:pStyle w:val="AgreementBody"/>
        <w:spacing w:before="0" w:after="80"/>
        <w:ind w:left="0"/>
      </w:pPr>
      <w:r>
        <w:rPr>
          <w:rFonts w:ascii="Times New Roman" w:hAnsi="Times New Roman" w:eastAsia="Times New Roman"/>
          <w:color w:val="000000"/>
          <w:sz w:val="21"/>
        </w:rPr>
        <w:t>Routine notices, approvals, and document delivery may occur through JobTread or email to the addresses in the project record. A termination, dispute notice, or statutory cancellation is effective as provided by the applicable clause and law; a statutory notice is not restricted to JobTread. Notices to Contractor may be delivered to MyGCnow Construction, 1700 Seventh Avenue, Suite 2100, PMB 874, Seattle, WA 98101, and info@mygcnow.com. Electronic signatures and counterparts are binding to the extent permitted by law, and each party will receive or retain a complete copy.</w:t>
      </w:r>
    </w:p>
    <w:p>
      <w:pPr>
        <w:pStyle w:val="AgreementSection"/>
        <w:keepNext/>
        <w:numPr>
          <w:ilvl w:val="0"/>
          <w:numId w:val="10"/>
        </w:numPr>
      </w:pPr>
      <w:r>
        <w:rPr>
          <w:rFonts w:ascii="Times New Roman" w:hAnsi="Times New Roman" w:eastAsia="Times New Roman"/>
          <w:b/>
          <w:color w:val="203864"/>
          <w:sz w:val="23"/>
        </w:rPr>
        <w:t>GENERAL TERMS</w:t>
      </w:r>
    </w:p>
    <w:p>
      <w:pPr>
        <w:pStyle w:val="AgreementClause"/>
        <w:spacing w:after="60"/>
        <w:numPr>
          <w:ilvl w:val="0"/>
          <w:numId w:val="15"/>
        </w:numPr>
      </w:pPr>
      <w:r>
        <w:rPr>
          <w:rFonts w:ascii="Times New Roman" w:hAnsi="Times New Roman" w:eastAsia="Times New Roman"/>
          <w:b/>
          <w:color w:val="000000"/>
          <w:sz w:val="20"/>
        </w:rPr>
        <w:t xml:space="preserve">Entire Phase 2 agreement. </w:t>
      </w:r>
      <w:r>
        <w:rPr>
          <w:rFonts w:ascii="Times New Roman" w:hAnsi="Times New Roman" w:eastAsia="Times New Roman"/>
          <w:color w:val="000000"/>
          <w:sz w:val="20"/>
        </w:rPr>
        <w:t>This Agreement and the identified Project Summary are the complete Phase 2 agreement and supersede prior Phase 2 discussions. An amendment must be in a written or electronic record affirmatively accepted by authorized representatives of both parties.</w:t>
      </w:r>
    </w:p>
    <w:p>
      <w:pPr>
        <w:pStyle w:val="AgreementClause"/>
        <w:spacing w:after="60"/>
        <w:numPr>
          <w:ilvl w:val="0"/>
          <w:numId w:val="15"/>
        </w:numPr>
      </w:pPr>
      <w:r>
        <w:rPr>
          <w:rFonts w:ascii="Times New Roman" w:hAnsi="Times New Roman" w:eastAsia="Times New Roman"/>
          <w:b/>
          <w:color w:val="000000"/>
          <w:sz w:val="20"/>
        </w:rPr>
        <w:t xml:space="preserve">Order of precedence. </w:t>
      </w:r>
      <w:r>
        <w:rPr>
          <w:rFonts w:ascii="Times New Roman" w:hAnsi="Times New Roman" w:eastAsia="Times New Roman"/>
          <w:color w:val="000000"/>
          <w:sz w:val="20"/>
        </w:rPr>
        <w:t>This Agreement controls legal and risk-allocation terms; the Project Summary controls the specifically identified Phase 2 scope, deliverables, fixed payment, revisions, and project-specific schedule. A later signed Construction Agreement governs construction and supersedes conflicting terms concerning construction, while accrued payment, credit, refund, intellectual-property, dispute, and survival obligations remain effective as stated.</w:t>
      </w:r>
    </w:p>
    <w:p>
      <w:pPr>
        <w:pStyle w:val="AgreementClause"/>
        <w:spacing w:after="60"/>
        <w:numPr>
          <w:ilvl w:val="0"/>
          <w:numId w:val="15"/>
        </w:numPr>
      </w:pPr>
      <w:r>
        <w:rPr>
          <w:rFonts w:ascii="Times New Roman" w:hAnsi="Times New Roman" w:eastAsia="Times New Roman"/>
          <w:b/>
          <w:color w:val="000000"/>
          <w:sz w:val="20"/>
        </w:rPr>
        <w:t xml:space="preserve">Governing law. </w:t>
      </w:r>
      <w:r>
        <w:rPr>
          <w:rFonts w:ascii="Times New Roman" w:hAnsi="Times New Roman" w:eastAsia="Times New Roman"/>
          <w:color w:val="000000"/>
          <w:sz w:val="20"/>
        </w:rPr>
        <w:t>Washington law governs without regard to conflict-of-law rules. Court proceedings permitted by Section 12 will be brought in the Washington county where the Property is located, unless applicable law requires otherwise.</w:t>
      </w:r>
    </w:p>
    <w:p>
      <w:pPr>
        <w:pStyle w:val="AgreementClause"/>
        <w:spacing w:after="60"/>
        <w:numPr>
          <w:ilvl w:val="0"/>
          <w:numId w:val="15"/>
        </w:numPr>
      </w:pPr>
      <w:r>
        <w:rPr>
          <w:rFonts w:ascii="Times New Roman" w:hAnsi="Times New Roman" w:eastAsia="Times New Roman"/>
          <w:b/>
          <w:color w:val="000000"/>
          <w:sz w:val="20"/>
        </w:rPr>
        <w:t xml:space="preserve">Severability and waiver. </w:t>
      </w:r>
      <w:r>
        <w:rPr>
          <w:rFonts w:ascii="Times New Roman" w:hAnsi="Times New Roman" w:eastAsia="Times New Roman"/>
          <w:color w:val="000000"/>
          <w:sz w:val="20"/>
        </w:rPr>
        <w:t>If a provision is unenforceable, it will be modified to the minimum extent necessary and the remainder stays effective. A waiver on one occasion is not a continuing waiver.</w:t>
      </w:r>
    </w:p>
    <w:p>
      <w:pPr>
        <w:pStyle w:val="AgreementClause"/>
        <w:spacing w:after="60"/>
        <w:numPr>
          <w:ilvl w:val="0"/>
          <w:numId w:val="15"/>
        </w:numPr>
      </w:pPr>
      <w:r>
        <w:rPr>
          <w:rFonts w:ascii="Times New Roman" w:hAnsi="Times New Roman" w:eastAsia="Times New Roman"/>
          <w:b/>
          <w:color w:val="000000"/>
          <w:sz w:val="20"/>
        </w:rPr>
        <w:t xml:space="preserve">Assignment. </w:t>
      </w:r>
      <w:r>
        <w:rPr>
          <w:rFonts w:ascii="Times New Roman" w:hAnsi="Times New Roman" w:eastAsia="Times New Roman"/>
          <w:color w:val="000000"/>
          <w:sz w:val="20"/>
        </w:rPr>
        <w:t>Client may not assign this Agreement, a Full Construction Credit or Partial Construction Credit, or project-document rights to another person or property without Contractor's written consent. Contractor may assign this Agreement to an affiliated entity that assumes Contractor's obligations, upon notice to Client.</w:t>
      </w:r>
    </w:p>
    <w:p>
      <w:pPr>
        <w:pStyle w:val="AgreementClause"/>
        <w:spacing w:after="60"/>
        <w:numPr>
          <w:ilvl w:val="0"/>
          <w:numId w:val="15"/>
        </w:numPr>
      </w:pPr>
      <w:r>
        <w:rPr>
          <w:rFonts w:ascii="Times New Roman" w:hAnsi="Times New Roman" w:eastAsia="Times New Roman"/>
          <w:b/>
          <w:color w:val="000000"/>
          <w:sz w:val="20"/>
        </w:rPr>
        <w:t xml:space="preserve">Headings and interpretation. </w:t>
      </w:r>
      <w:r>
        <w:rPr>
          <w:rFonts w:ascii="Times New Roman" w:hAnsi="Times New Roman" w:eastAsia="Times New Roman"/>
          <w:color w:val="000000"/>
          <w:sz w:val="20"/>
        </w:rPr>
        <w:t>Headings aid reference only. Singular includes plural as context requires. No presumption against a drafter applies solely because a party or its advisor prepared a provision.</w:t>
      </w:r>
    </w:p>
    <w:p>
      <w:pPr>
        <w:keepNext/>
        <w:spacing w:before="200" w:after="100"/>
      </w:pPr>
      <w:r>
        <w:rPr>
          <w:rFonts w:ascii="Times New Roman" w:hAnsi="Times New Roman" w:eastAsia="Times New Roman"/>
          <w:b/>
          <w:color w:val="203864"/>
          <w:sz w:val="22"/>
        </w:rPr>
        <w:t>FEDERAL COOLING-OFF NOTICE</w:t>
      </w:r>
    </w:p>
    <w:tbl>
      <w:tblPr>
        <w:tblW w:type="dxa" w:w="10080"/>
        <w:jc w:val="left"/>
        <w:tblLayout w:type="fixed"/>
        <w:tblLook w:firstColumn="1" w:firstRow="1" w:lastColumn="0" w:lastRow="0" w:noHBand="0" w:noVBand="1" w:val="04A0"/>
        <w:tblInd w:type="dxa" w:w="150"/>
      </w:tblPr>
      <w:tblGrid>
        <w:gridCol w:w="10080"/>
      </w:tblGrid>
      <w:tr>
        <w:trPr>
          <w:cantSplit/>
        </w:trPr>
        <w:tc>
          <w:tcPr>
            <w:tcW w:type="dxa" w:w="10080"/>
            <w:shd w:fill="FFF2CC" w:val="clear"/>
            <w:tcBorders>
              <w:top w:val="single" w:sz="10" w:space="0" w:color="BF9000"/>
              <w:left w:val="single" w:sz="10" w:space="0" w:color="BF9000"/>
              <w:bottom w:val="single" w:sz="10" w:space="0" w:color="BF9000"/>
              <w:right w:val="single" w:sz="10" w:space="0" w:color="BF9000"/>
              <w:insideH w:val="single" w:sz="10" w:space="0" w:color="BF9000"/>
              <w:insideV w:val="single" w:sz="10" w:space="0" w:color="BF9000"/>
            </w:tcBorders>
            <w:tcMar>
              <w:top w:w="110" w:type="dxa"/>
              <w:bottom w:w="110" w:type="dxa"/>
              <w:start w:w="150" w:type="dxa"/>
              <w:end w:w="150" w:type="dxa"/>
            </w:tcMar>
          </w:tcPr>
          <w:p>
            <w:pPr>
              <w:spacing w:after="40"/>
            </w:pPr>
            <w:r>
              <w:rPr>
                <w:rFonts w:ascii="Times New Roman" w:hAnsi="Times New Roman" w:eastAsia="Times New Roman"/>
                <w:b/>
                <w:color w:val="203864"/>
                <w:sz w:val="21"/>
              </w:rPr>
              <w:t>YOU, THE BUYER, MAY CANCEL THIS TRANSACTION AT ANY TIME PRIOR TO MIDNIGHT OF THE THIRD BUSINESS DAY AFTER THE DATE OF THIS TRANSACTION.</w:t>
            </w:r>
          </w:p>
          <w:p>
            <w:pPr>
              <w:pStyle w:val="AgreementBody"/>
              <w:spacing w:after="0"/>
            </w:pPr>
            <w:r>
              <w:rPr>
                <w:rFonts w:ascii="Times New Roman" w:hAnsi="Times New Roman" w:eastAsia="Times New Roman"/>
                <w:b/>
                <w:color w:val="000000"/>
                <w:sz w:val="21"/>
              </w:rPr>
              <w:t>See the two attached copies of the Notice of Cancellation in Exhibit C for an explanation of this right.</w:t>
            </w:r>
          </w:p>
        </w:tc>
      </w:tr>
    </w:tbl>
    <w:p>
      <w:pPr>
        <w:spacing w:after="20" w:before="0"/>
      </w:pPr>
    </w:p>
    <w:p>
      <w:pPr>
        <w:pStyle w:val="AgreementBody"/>
        <w:spacing w:before="80" w:after="80"/>
        <w:ind w:left="0"/>
      </w:pPr>
      <w:r>
        <w:rPr>
          <w:rFonts w:ascii="Times New Roman" w:hAnsi="Times New Roman" w:eastAsia="Times New Roman"/>
          <w:color w:val="000000"/>
          <w:sz w:val="21"/>
        </w:rPr>
        <w:t>By signing, each party acknowledges reading and accepting this Agreement; each Client acknowledges receipt of the Agreement, the Project Summary, two completed copies of Exhibit C, and the contractor disclosure in Exhibit A. Each Client confirms that Contractor orally explained the cancellation right before signature.</w:t>
      </w:r>
    </w:p>
    <w:tbl>
      <w:tblPr>
        <w:tblW w:type="dxa" w:w="10080"/>
        <w:jc w:val="left"/>
        <w:tblLayout w:type="fixed"/>
        <w:tblLook w:firstColumn="1" w:firstRow="1" w:lastColumn="0" w:lastRow="0" w:noHBand="0" w:noVBand="1" w:val="04A0"/>
        <w:tblInd w:type="dxa" w:w="100"/>
      </w:tblPr>
      <w:tblGrid>
        <w:gridCol w:w="5040"/>
        <w:gridCol w:w="5040"/>
      </w:tblGrid>
      <w:tr>
        <w:trPr/>
        <w:tc>
          <w:tcPr>
            <w:tcW w:type="dxa" w:w="5040"/>
            <w:tcMar>
              <w:top w:w="20" w:type="dxa"/>
              <w:bottom w:w="30" w:type="dxa"/>
              <w:start w:w="100" w:type="dxa"/>
              <w:end w:w="100" w:type="dxa"/>
            </w:tcMar>
          </w:tcPr>
          <w:p>
            <w:pPr>
              <w:spacing w:before="360" w:after="0"/>
            </w:pPr>
            <w:r>
              <w:rPr>
                <w:rFonts w:ascii="Times New Roman" w:hAnsi="Times New Roman" w:eastAsia="Times New Roman"/>
                <w:sz w:val="20"/>
              </w:rPr>
              <w:t>________________________________________</w:t>
            </w:r>
          </w:p>
          <w:p>
            <w:pPr>
              <w:spacing w:after="0"/>
            </w:pPr>
            <w:r>
              <w:rPr>
                <w:rFonts w:ascii="Times New Roman" w:hAnsi="Times New Roman" w:eastAsia="Times New Roman"/>
                <w:b/>
                <w:color w:val="000000"/>
                <w:sz w:val="19"/>
              </w:rPr>
              <w:t>MYGCNOW CONSTRUCTION</w:t>
            </w:r>
          </w:p>
          <w:p>
            <w:pPr>
              <w:spacing w:after="80"/>
            </w:pPr>
            <w:r>
              <w:rPr>
                <w:rFonts w:ascii="Times New Roman" w:hAnsi="Times New Roman" w:eastAsia="Times New Roman"/>
                <w:color w:val="4A4A4A"/>
                <w:sz w:val="17"/>
              </w:rPr>
              <w:t>Authorized representative: Tyson Sonnenberg or designee</w:t>
            </w:r>
          </w:p>
        </w:tc>
        <w:tc>
          <w:tcPr>
            <w:tcW w:type="dxa" w:w="5040"/>
            <w:tcMar>
              <w:top w:w="20" w:type="dxa"/>
              <w:bottom w:w="30" w:type="dxa"/>
              <w:start w:w="100" w:type="dxa"/>
              <w:end w:w="100" w:type="dxa"/>
            </w:tcMar>
          </w:tcPr>
          <w:p>
            <w:pPr>
              <w:spacing w:before="360" w:after="0"/>
            </w:pPr>
            <w:r>
              <w:rPr>
                <w:rFonts w:ascii="Times New Roman" w:hAnsi="Times New Roman" w:eastAsia="Times New Roman"/>
                <w:sz w:val="20"/>
              </w:rPr>
              <w:t>________________________________________</w:t>
            </w:r>
          </w:p>
          <w:p>
            <w:pPr>
              <w:spacing w:after="0"/>
            </w:pPr>
            <w:r>
              <w:rPr>
                <w:rFonts w:ascii="Times New Roman" w:hAnsi="Times New Roman" w:eastAsia="Times New Roman"/>
                <w:b/>
                <w:color w:val="000000"/>
                <w:sz w:val="19"/>
              </w:rPr>
              <w:t>CLIENT / OWNER 1</w:t>
            </w:r>
          </w:p>
          <w:p>
            <w:pPr>
              <w:spacing w:after="80"/>
            </w:pPr>
            <w:r>
              <w:rPr>
                <w:rFonts w:ascii="Times New Roman" w:hAnsi="Times New Roman" w:eastAsia="Times New Roman"/>
                <w:color w:val="4A4A4A"/>
                <w:sz w:val="17"/>
              </w:rPr>
              <w:t>Printed name: ______________________________</w:t>
            </w:r>
          </w:p>
        </w:tc>
      </w:tr>
      <w:tr>
        <w:trPr/>
        <w:tc>
          <w:tcPr>
            <w:tcW w:type="dxa" w:w="5040"/>
            <w:tcMar>
              <w:top w:w="20" w:type="dxa"/>
              <w:bottom w:w="30" w:type="dxa"/>
              <w:start w:w="100" w:type="dxa"/>
              <w:end w:w="100" w:type="dxa"/>
            </w:tcMar>
          </w:tcPr>
          <w:p>
            <w:pPr>
              <w:spacing w:before="360" w:after="0"/>
            </w:pPr>
            <w:r>
              <w:rPr>
                <w:rFonts w:ascii="Times New Roman" w:hAnsi="Times New Roman" w:eastAsia="Times New Roman"/>
                <w:sz w:val="20"/>
              </w:rPr>
              <w:t>________________________________________</w:t>
            </w:r>
          </w:p>
          <w:p>
            <w:pPr>
              <w:spacing w:after="0"/>
            </w:pPr>
            <w:r>
              <w:rPr>
                <w:rFonts w:ascii="Times New Roman" w:hAnsi="Times New Roman" w:eastAsia="Times New Roman"/>
                <w:b/>
                <w:color w:val="000000"/>
                <w:sz w:val="19"/>
              </w:rPr>
              <w:t>CONTRACTOR DATE</w:t>
            </w:r>
          </w:p>
          <w:p>
            <w:pPr>
              <w:spacing w:after="80"/>
            </w:pPr>
            <w:r>
              <w:rPr>
                <w:rFonts w:ascii="Times New Roman" w:hAnsi="Times New Roman" w:eastAsia="Times New Roman"/>
                <w:color w:val="4A4A4A"/>
                <w:sz w:val="17"/>
              </w:rPr>
              <w:t>Executed electronically in JobTread (Designated System)</w:t>
            </w:r>
          </w:p>
        </w:tc>
        <w:tc>
          <w:tcPr>
            <w:tcW w:type="dxa" w:w="5040"/>
            <w:tcMar>
              <w:top w:w="20" w:type="dxa"/>
              <w:bottom w:w="30" w:type="dxa"/>
              <w:start w:w="100" w:type="dxa"/>
              <w:end w:w="100" w:type="dxa"/>
            </w:tcMar>
          </w:tcPr>
          <w:p>
            <w:pPr>
              <w:spacing w:before="360" w:after="0"/>
            </w:pPr>
            <w:r>
              <w:rPr>
                <w:rFonts w:ascii="Times New Roman" w:hAnsi="Times New Roman" w:eastAsia="Times New Roman"/>
                <w:sz w:val="20"/>
              </w:rPr>
              <w:t>________________________________________</w:t>
            </w:r>
          </w:p>
          <w:p>
            <w:pPr>
              <w:spacing w:after="0"/>
            </w:pPr>
            <w:r>
              <w:rPr>
                <w:rFonts w:ascii="Times New Roman" w:hAnsi="Times New Roman" w:eastAsia="Times New Roman"/>
                <w:b/>
                <w:color w:val="000000"/>
                <w:sz w:val="19"/>
              </w:rPr>
              <w:t>CLIENT / OWNER 1 DATE</w:t>
            </w:r>
          </w:p>
        </w:tc>
      </w:tr>
      <w:tr>
        <w:trPr/>
        <w:tc>
          <w:tcPr>
            <w:tcW w:type="dxa" w:w="5040"/>
            <w:tcMar>
              <w:top w:w="20" w:type="dxa"/>
              <w:bottom w:w="30" w:type="dxa"/>
              <w:start w:w="100" w:type="dxa"/>
              <w:end w:w="100" w:type="dxa"/>
            </w:tcMar>
          </w:tcPr>
          <w:p>
            <w:pPr>
              <w:spacing w:before="360" w:after="0"/>
            </w:pPr>
            <w:r>
              <w:rPr>
                <w:rFonts w:ascii="Times New Roman" w:hAnsi="Times New Roman" w:eastAsia="Times New Roman"/>
                <w:sz w:val="20"/>
              </w:rPr>
              <w:t>________________________________________</w:t>
            </w:r>
          </w:p>
          <w:p>
            <w:pPr>
              <w:spacing w:after="0"/>
            </w:pPr>
            <w:r>
              <w:rPr>
                <w:rFonts w:ascii="Times New Roman" w:hAnsi="Times New Roman" w:eastAsia="Times New Roman"/>
                <w:b/>
                <w:color w:val="000000"/>
                <w:sz w:val="19"/>
              </w:rPr>
              <w:t>CLIENT / OWNER 2 (IF APPLICABLE)</w:t>
            </w:r>
          </w:p>
          <w:p>
            <w:pPr>
              <w:spacing w:after="80"/>
            </w:pPr>
            <w:r>
              <w:rPr>
                <w:rFonts w:ascii="Times New Roman" w:hAnsi="Times New Roman" w:eastAsia="Times New Roman"/>
                <w:color w:val="4A4A4A"/>
                <w:sz w:val="17"/>
              </w:rPr>
              <w:t>Printed name: ______________________________</w:t>
            </w:r>
          </w:p>
        </w:tc>
        <w:tc>
          <w:tcPr>
            <w:tcW w:type="dxa" w:w="5040"/>
            <w:tcMar>
              <w:top w:w="20" w:type="dxa"/>
              <w:bottom w:w="30" w:type="dxa"/>
              <w:start w:w="100" w:type="dxa"/>
              <w:end w:w="100" w:type="dxa"/>
            </w:tcMar>
          </w:tcPr>
          <w:p>
            <w:pPr>
              <w:spacing w:before="360" w:after="0"/>
            </w:pPr>
            <w:r>
              <w:rPr>
                <w:rFonts w:ascii="Times New Roman" w:hAnsi="Times New Roman" w:eastAsia="Times New Roman"/>
                <w:sz w:val="20"/>
              </w:rPr>
              <w:t>________________________________________</w:t>
            </w:r>
          </w:p>
          <w:p>
            <w:pPr>
              <w:spacing w:after="0"/>
            </w:pPr>
            <w:r>
              <w:rPr>
                <w:rFonts w:ascii="Times New Roman" w:hAnsi="Times New Roman" w:eastAsia="Times New Roman"/>
                <w:b/>
                <w:color w:val="000000"/>
                <w:sz w:val="19"/>
              </w:rPr>
              <w:t>CLIENT / OWNER 2 DATE</w:t>
            </w:r>
          </w:p>
        </w:tc>
      </w:tr>
    </w:tbl>
    <w:p>
      <w:r>
        <w:br w:type="page"/>
      </w:r>
    </w:p>
    <w:p>
      <w:pPr>
        <w:spacing w:before="0" w:after="80"/>
        <w:jc w:val="center"/>
      </w:pPr>
      <w:r>
        <w:rPr>
          <w:rFonts w:ascii="Times New Roman" w:hAnsi="Times New Roman" w:eastAsia="Times New Roman"/>
          <w:b/>
          <w:color w:val="203864"/>
          <w:sz w:val="28"/>
        </w:rPr>
        <w:t>EXHIBIT A - WASHINGTON CONTRACTOR DISCLOSURE</w:t>
      </w:r>
    </w:p>
    <w:p>
      <w:pPr>
        <w:spacing w:after="160"/>
        <w:jc w:val="center"/>
      </w:pPr>
      <w:r>
        <w:rPr>
          <w:rFonts w:ascii="Times New Roman" w:hAnsi="Times New Roman" w:eastAsia="Times New Roman"/>
          <w:b/>
          <w:color w:val="4A4A4A"/>
          <w:sz w:val="21"/>
        </w:rPr>
        <w:t>NOTICE TO CUSTOMER</w:t>
      </w:r>
    </w:p>
    <w:tbl>
      <w:tblPr>
        <w:tblW w:type="dxa" w:w="10080"/>
        <w:jc w:val="left"/>
        <w:tblLayout w:type="fixed"/>
        <w:tblLook w:firstColumn="1" w:firstRow="1" w:lastColumn="0" w:lastRow="0" w:noHBand="0" w:noVBand="1" w:val="04A0"/>
        <w:tblInd w:type="dxa" w:w="150"/>
      </w:tblPr>
      <w:tblGrid>
        <w:gridCol w:w="10080"/>
      </w:tblGrid>
      <w:tr>
        <w:trPr>
          <w:cantSplit/>
        </w:trPr>
        <w:tc>
          <w:tcPr>
            <w:tcW w:type="dxa" w:w="10080"/>
            <w:shd w:fill="FFF2CC" w:val="clear"/>
            <w:tcBorders>
              <w:top w:val="single" w:sz="10" w:space="0" w:color="BF9000"/>
              <w:left w:val="single" w:sz="10" w:space="0" w:color="BF9000"/>
              <w:bottom w:val="single" w:sz="10" w:space="0" w:color="BF9000"/>
              <w:right w:val="single" w:sz="10" w:space="0" w:color="BF9000"/>
              <w:insideH w:val="single" w:sz="10" w:space="0" w:color="BF9000"/>
              <w:insideV w:val="single" w:sz="10" w:space="0" w:color="BF9000"/>
            </w:tcBorders>
            <w:tcMar>
              <w:top w:w="110" w:type="dxa"/>
              <w:bottom w:w="110" w:type="dxa"/>
              <w:start w:w="150" w:type="dxa"/>
              <w:end w:w="150" w:type="dxa"/>
            </w:tcMar>
          </w:tcPr>
          <w:p>
            <w:pPr>
              <w:spacing w:after="40"/>
            </w:pPr>
            <w:r>
              <w:rPr>
                <w:rFonts w:ascii="Times New Roman" w:hAnsi="Times New Roman" w:eastAsia="Times New Roman"/>
                <w:b/>
                <w:color w:val="203864"/>
                <w:sz w:val="21"/>
              </w:rPr>
              <w:t>TEMPLATE ADMINISTRATION</w:t>
            </w:r>
          </w:p>
          <w:p>
            <w:pPr>
              <w:pStyle w:val="AgreementBody"/>
              <w:spacing w:after="0"/>
            </w:pPr>
            <w:r>
              <w:rPr>
                <w:rFonts w:ascii="Times New Roman" w:hAnsi="Times New Roman" w:eastAsia="Times New Roman"/>
                <w:b/>
                <w:color w:val="000000"/>
                <w:sz w:val="20"/>
              </w:rPr>
              <w:t>Before every execution, verify the actual bond and registration status and populate the current expiration date. Retain the signed disclosure for at least three years.</w:t>
            </w:r>
          </w:p>
        </w:tc>
      </w:tr>
    </w:tbl>
    <w:p>
      <w:pPr>
        <w:spacing w:after="20" w:before="0"/>
      </w:pPr>
    </w:p>
    <w:p>
      <w:pPr>
        <w:spacing w:after="100" w:line="240" w:lineRule="auto"/>
      </w:pPr>
      <w:r>
        <w:rPr>
          <w:rFonts w:ascii="Times New Roman" w:hAnsi="Times New Roman" w:eastAsia="Times New Roman"/>
          <w:color w:val="000000"/>
          <w:sz w:val="24"/>
        </w:rPr>
        <w:t xml:space="preserve">This contractor is registered with the state of Washington, registration no. </w:t>
      </w:r>
      <w:r>
        <w:rPr>
          <w:rFonts w:ascii="Times New Roman" w:hAnsi="Times New Roman" w:eastAsia="Times New Roman"/>
          <w:b/>
          <w:color w:val="000000"/>
          <w:sz w:val="24"/>
        </w:rPr>
        <w:t>MYGCNC*754P3</w:t>
      </w:r>
      <w:r>
        <w:rPr>
          <w:rFonts w:ascii="Times New Roman" w:hAnsi="Times New Roman" w:eastAsia="Times New Roman"/>
          <w:color w:val="000000"/>
          <w:sz w:val="24"/>
        </w:rPr>
        <w:t xml:space="preserve">, and has posted with the state a bond or deposit of </w:t>
      </w:r>
      <w:r>
        <w:rPr>
          <w:rFonts w:ascii="Times New Roman" w:hAnsi="Times New Roman" w:eastAsia="Times New Roman"/>
          <w:b/>
          <w:color w:val="000000"/>
          <w:sz w:val="24"/>
        </w:rPr>
        <w:t>$30,000.00</w:t>
      </w:r>
      <w:r>
        <w:rPr>
          <w:rFonts w:ascii="Times New Roman" w:hAnsi="Times New Roman" w:eastAsia="Times New Roman"/>
          <w:color w:val="000000"/>
          <w:sz w:val="24"/>
        </w:rPr>
        <w:t xml:space="preserve"> for the purpose of satisfying claims against the contractor for breach of contract including negligent or improper work in the conduct of the contractor's business. The expiration date of this contractor's registration is </w:t>
      </w:r>
      <w:r>
        <w:rPr>
          <w:rFonts w:ascii="Times New Roman" w:hAnsi="Times New Roman" w:eastAsia="Times New Roman"/>
          <w:b/>
          <w:color w:val="000000"/>
          <w:sz w:val="24"/>
          <w:shd w:val="clear" w:fill="FFF2CC"/>
        </w:rPr>
        <w:t>[JOBTREAD: CURRENT REGISTRATION EXPIRATION DATE]</w:t>
      </w:r>
      <w:r>
        <w:rPr>
          <w:rFonts w:ascii="Times New Roman" w:hAnsi="Times New Roman" w:eastAsia="Times New Roman"/>
          <w:color w:val="000000"/>
          <w:sz w:val="24"/>
        </w:rPr>
        <w:t>.</w:t>
      </w:r>
    </w:p>
    <w:p>
      <w:pPr>
        <w:spacing w:after="100" w:line="240" w:lineRule="auto"/>
      </w:pPr>
      <w:r>
        <w:rPr>
          <w:rFonts w:ascii="Times New Roman" w:hAnsi="Times New Roman" w:eastAsia="Times New Roman"/>
          <w:b/>
          <w:color w:val="000000"/>
          <w:sz w:val="24"/>
        </w:rPr>
        <w:t>THIS BOND OR DEPOSIT MIGHT NOT BE SUFFICIENT TO COVER A CLAIM THAT MIGHT ARISE FROM THE WORK DONE UNDER YOUR CONTRACT.</w:t>
      </w:r>
    </w:p>
    <w:p>
      <w:pPr>
        <w:spacing w:after="100" w:line="240" w:lineRule="auto"/>
      </w:pPr>
      <w:r>
        <w:rPr>
          <w:rFonts w:ascii="Times New Roman" w:hAnsi="Times New Roman" w:eastAsia="Times New Roman"/>
          <w:color w:val="000000"/>
          <w:sz w:val="24"/>
        </w:rPr>
        <w:t>This bond or deposit is not for your exclusive use because it covers all work performed by this contractor. The bond or deposit is intended to pay valid claims up to $30,000.00 that you and other customers, suppliers, subcontractors, or taxing authorities may have.</w:t>
      </w:r>
    </w:p>
    <w:p>
      <w:pPr>
        <w:spacing w:after="100" w:line="240" w:lineRule="auto"/>
      </w:pPr>
      <w:r>
        <w:rPr>
          <w:rFonts w:ascii="Times New Roman" w:hAnsi="Times New Roman" w:eastAsia="Times New Roman"/>
          <w:b/>
          <w:color w:val="000000"/>
          <w:sz w:val="24"/>
        </w:rPr>
        <w:t>FOR GREATER PROTECTION YOU MAY WITHHOLD A PERCENTAGE OF YOUR CONTRACT.</w:t>
      </w:r>
    </w:p>
    <w:p>
      <w:pPr>
        <w:spacing w:after="100" w:line="240" w:lineRule="auto"/>
      </w:pPr>
      <w:r>
        <w:rPr>
          <w:rFonts w:ascii="Times New Roman" w:hAnsi="Times New Roman" w:eastAsia="Times New Roman"/>
          <w:color w:val="000000"/>
          <w:sz w:val="24"/>
        </w:rPr>
        <w:t>You may withhold a contractually defined percentage of your construction contract as retainage for a stated period of time to provide protection to you and help insure that your project will be completed as required by your contract.</w:t>
      </w:r>
    </w:p>
    <w:p>
      <w:pPr>
        <w:spacing w:after="100" w:line="240" w:lineRule="auto"/>
      </w:pPr>
      <w:r>
        <w:rPr>
          <w:rFonts w:ascii="Times New Roman" w:hAnsi="Times New Roman" w:eastAsia="Times New Roman"/>
          <w:b/>
          <w:color w:val="000000"/>
          <w:sz w:val="24"/>
        </w:rPr>
        <w:t>YOUR PROPERTY MAY BE LIENED.</w:t>
      </w:r>
    </w:p>
    <w:p>
      <w:pPr>
        <w:spacing w:after="100" w:line="240" w:lineRule="auto"/>
      </w:pPr>
      <w:r>
        <w:rPr>
          <w:rFonts w:ascii="Times New Roman" w:hAnsi="Times New Roman" w:eastAsia="Times New Roman"/>
          <w:color w:val="000000"/>
          <w:sz w:val="24"/>
        </w:rPr>
        <w:t>If a supplier of materials used in your construction project or an employee or subcontractor of your contractor or subcontractors is not paid, your property may be liened to force payment and you could pay twice for the same work.</w:t>
      </w:r>
    </w:p>
    <w:p>
      <w:pPr>
        <w:spacing w:after="100" w:line="240" w:lineRule="auto"/>
      </w:pPr>
      <w:r>
        <w:rPr>
          <w:rFonts w:ascii="Times New Roman" w:hAnsi="Times New Roman" w:eastAsia="Times New Roman"/>
          <w:b/>
          <w:color w:val="000000"/>
          <w:sz w:val="24"/>
        </w:rPr>
        <w:t>FOR ADDITIONAL PROTECTION, YOU MAY REQUEST THE CONTRACTOR TO PROVIDE YOU WITH ORIGINAL "LIEN RELEASE" DOCUMENTS FROM EACH SUPPLIER OR SUBCONTRACTOR ON YOUR PROJECT.</w:t>
      </w:r>
    </w:p>
    <w:p>
      <w:pPr>
        <w:spacing w:after="100" w:line="240" w:lineRule="auto"/>
      </w:pPr>
      <w:r>
        <w:rPr>
          <w:rFonts w:ascii="Times New Roman" w:hAnsi="Times New Roman" w:eastAsia="Times New Roman"/>
          <w:color w:val="000000"/>
          <w:sz w:val="24"/>
        </w:rPr>
        <w:t>The contractor is required to provide you with further information about lien release documents if you request it. General information is also available from the state Department of Labor and Industries.</w:t>
      </w:r>
    </w:p>
    <w:p>
      <w:pPr>
        <w:spacing w:before="160" w:after="80"/>
      </w:pPr>
      <w:r>
        <w:rPr>
          <w:rFonts w:ascii="Times New Roman" w:hAnsi="Times New Roman" w:eastAsia="Times New Roman"/>
          <w:b/>
          <w:color w:val="000000"/>
          <w:sz w:val="24"/>
        </w:rPr>
        <w:t>I have received a copy of this disclosure statement.</w:t>
      </w:r>
    </w:p>
    <w:tbl>
      <w:tblPr>
        <w:tblW w:type="dxa" w:w="10080"/>
        <w:jc w:val="left"/>
        <w:tblLayout w:type="fixed"/>
        <w:tblLook w:firstColumn="1" w:firstRow="1" w:lastColumn="0" w:lastRow="0" w:noHBand="0" w:noVBand="1" w:val="04A0"/>
        <w:tblInd w:type="dxa" w:w="100"/>
      </w:tblPr>
      <w:tblGrid>
        <w:gridCol w:w="5040"/>
        <w:gridCol w:w="5040"/>
      </w:tblGrid>
      <w:tr>
        <w:trPr/>
        <w:tc>
          <w:tcPr>
            <w:tcW w:type="dxa" w:w="5040"/>
            <w:tcMar>
              <w:top w:w="30" w:type="dxa"/>
              <w:bottom w:w="30" w:type="dxa"/>
              <w:start w:w="100" w:type="dxa"/>
              <w:end w:w="100" w:type="dxa"/>
            </w:tcMar>
          </w:tcPr>
          <w:p>
            <w:pPr>
              <w:spacing w:before="160" w:after="0"/>
            </w:pPr>
            <w:r>
              <w:rPr>
                <w:rFonts w:ascii="Times New Roman" w:hAnsi="Times New Roman" w:eastAsia="Times New Roman"/>
                <w:sz w:val="18"/>
              </w:rPr>
              <w:t>________________________________________</w:t>
            </w:r>
          </w:p>
          <w:p>
            <w:pPr>
              <w:spacing w:after="0"/>
            </w:pPr>
            <w:r>
              <w:rPr>
                <w:rFonts w:ascii="Times New Roman" w:hAnsi="Times New Roman" w:eastAsia="Times New Roman"/>
                <w:b/>
                <w:color w:val="000000"/>
                <w:sz w:val="17"/>
              </w:rPr>
              <w:t>CLIENT / OWNER 1 SIGNATURE</w:t>
            </w:r>
          </w:p>
        </w:tc>
        <w:tc>
          <w:tcPr>
            <w:tcW w:type="dxa" w:w="5040"/>
            <w:tcMar>
              <w:top w:w="30" w:type="dxa"/>
              <w:bottom w:w="30" w:type="dxa"/>
              <w:start w:w="100" w:type="dxa"/>
              <w:end w:w="100" w:type="dxa"/>
            </w:tcMar>
          </w:tcPr>
          <w:p>
            <w:pPr>
              <w:spacing w:before="160" w:after="0"/>
            </w:pPr>
            <w:r>
              <w:rPr>
                <w:rFonts w:ascii="Times New Roman" w:hAnsi="Times New Roman" w:eastAsia="Times New Roman"/>
                <w:sz w:val="18"/>
              </w:rPr>
              <w:t>________________________________________</w:t>
            </w:r>
          </w:p>
          <w:p>
            <w:pPr>
              <w:spacing w:after="0"/>
            </w:pPr>
            <w:r>
              <w:rPr>
                <w:rFonts w:ascii="Times New Roman" w:hAnsi="Times New Roman" w:eastAsia="Times New Roman"/>
                <w:b/>
                <w:color w:val="000000"/>
                <w:sz w:val="17"/>
              </w:rPr>
              <w:t>DATE</w:t>
            </w:r>
          </w:p>
        </w:tc>
      </w:tr>
      <w:tr>
        <w:trPr/>
        <w:tc>
          <w:tcPr>
            <w:tcW w:type="dxa" w:w="5040"/>
            <w:tcMar>
              <w:top w:w="30" w:type="dxa"/>
              <w:bottom w:w="30" w:type="dxa"/>
              <w:start w:w="100" w:type="dxa"/>
              <w:end w:w="100" w:type="dxa"/>
            </w:tcMar>
          </w:tcPr>
          <w:p>
            <w:pPr>
              <w:spacing w:before="160" w:after="0"/>
            </w:pPr>
            <w:r>
              <w:rPr>
                <w:rFonts w:ascii="Times New Roman" w:hAnsi="Times New Roman" w:eastAsia="Times New Roman"/>
                <w:sz w:val="18"/>
              </w:rPr>
              <w:t>________________________________________</w:t>
            </w:r>
          </w:p>
          <w:p>
            <w:pPr>
              <w:spacing w:after="0"/>
            </w:pPr>
            <w:r>
              <w:rPr>
                <w:rFonts w:ascii="Times New Roman" w:hAnsi="Times New Roman" w:eastAsia="Times New Roman"/>
                <w:b/>
                <w:color w:val="000000"/>
                <w:sz w:val="17"/>
              </w:rPr>
              <w:t>CLIENT / OWNER 2 SIGNATURE (IF APPLICABLE)</w:t>
            </w:r>
          </w:p>
        </w:tc>
        <w:tc>
          <w:tcPr>
            <w:tcW w:type="dxa" w:w="5040"/>
            <w:tcMar>
              <w:top w:w="30" w:type="dxa"/>
              <w:bottom w:w="30" w:type="dxa"/>
              <w:start w:w="100" w:type="dxa"/>
              <w:end w:w="100" w:type="dxa"/>
            </w:tcMar>
          </w:tcPr>
          <w:p>
            <w:pPr>
              <w:spacing w:before="160" w:after="0"/>
            </w:pPr>
            <w:r>
              <w:rPr>
                <w:rFonts w:ascii="Times New Roman" w:hAnsi="Times New Roman" w:eastAsia="Times New Roman"/>
                <w:sz w:val="18"/>
              </w:rPr>
              <w:t>________________________________________</w:t>
            </w:r>
          </w:p>
          <w:p>
            <w:pPr>
              <w:spacing w:after="0"/>
            </w:pPr>
            <w:r>
              <w:rPr>
                <w:rFonts w:ascii="Times New Roman" w:hAnsi="Times New Roman" w:eastAsia="Times New Roman"/>
                <w:b/>
                <w:color w:val="000000"/>
                <w:sz w:val="17"/>
              </w:rPr>
              <w:t>DATE</w:t>
            </w:r>
          </w:p>
        </w:tc>
      </w:tr>
    </w:tbl>
    <w:p>
      <w:r>
        <w:br w:type="page"/>
      </w:r>
    </w:p>
    <w:p>
      <w:pPr>
        <w:spacing w:before="0" w:after="80"/>
        <w:jc w:val="center"/>
      </w:pPr>
      <w:r>
        <w:rPr>
          <w:rFonts w:ascii="Times New Roman" w:hAnsi="Times New Roman" w:eastAsia="Times New Roman"/>
          <w:b/>
          <w:color w:val="203864"/>
          <w:sz w:val="28"/>
        </w:rPr>
        <w:t>EXHIBIT B - CONSTRUCTION DEFECT CLAIM NOTICE</w:t>
      </w:r>
    </w:p>
    <w:p>
      <w:pPr>
        <w:spacing w:after="160"/>
        <w:jc w:val="center"/>
      </w:pPr>
      <w:r>
        <w:rPr>
          <w:rFonts w:ascii="Times New Roman" w:hAnsi="Times New Roman" w:eastAsia="Times New Roman"/>
          <w:b/>
          <w:color w:val="4A4A4A"/>
          <w:sz w:val="21"/>
        </w:rPr>
        <w:t>PROSPECTIVE NOTICE - DOES NOT AUTHORIZE CONSTRUCTION</w:t>
      </w:r>
    </w:p>
    <w:p>
      <w:pPr>
        <w:pStyle w:val="AgreementBody"/>
        <w:spacing w:before="0" w:after="200"/>
        <w:ind w:left="0"/>
      </w:pPr>
      <w:r>
        <w:rPr>
          <w:rFonts w:ascii="Times New Roman" w:hAnsi="Times New Roman" w:eastAsia="Times New Roman"/>
          <w:color w:val="000000"/>
          <w:sz w:val="21"/>
        </w:rPr>
        <w:t>This notice is provided conservatively because the parties anticipate a possible later Construction Agreement. It does not convert this Phase 2 Agreement into a construction contract and should be provided again in any later contract for construction or substantial remodeling.</w:t>
      </w:r>
    </w:p>
    <w:p>
      <w:pPr>
        <w:spacing w:after="0" w:line="252" w:lineRule="auto"/>
      </w:pPr>
      <w:r>
        <w:rPr>
          <w:rFonts w:ascii="Times New Roman" w:hAnsi="Times New Roman" w:eastAsia="Times New Roman"/>
          <w:b/>
          <w:color w:val="000000"/>
          <w:sz w:val="24"/>
        </w:rPr>
        <w:t>CHAPTER 64.50 RCW CONTAINS IMPORTANT REQUIREMENTS YOU MUST FOLLOW BEFORE YOU MAY FILE A LAWSUIT FOR DEFECTIVE CONSTRUCTION AGAINST THE SELLER OR BUILDER OF YOUR HOME. FORTY-FIVE DAYS BEFORE YOU FILE YOUR LAWSUIT, YOU MUST DELIVER TO THE SELLER OR BUILDER A WRITTEN NOTICE OF ANY CONSTRUCTION CONDITIONS YOU ALLEGE ARE DEFECTIVE AND PROVIDE YOUR SELLER OR BUILDER THE OPPORTUNITY TO MAKE AN OFFER TO REPAIR OR PAY FOR THE DEFECTS. YOU ARE NOT OBLIGATED TO ACCEPT ANY OFFER MADE BY THE BUILDER OR SELLER. THERE ARE STRICT DEADLINES AND PROCEDURES UNDER STATE LAW, AND FAILURE TO FOLLOW THEM MAY AFFECT YOUR ABILITY TO FILE A LAWSUIT.</w:t>
      </w:r>
    </w:p>
    <w:p>
      <w:pPr>
        <w:pageBreakBefore/>
        <w:spacing w:before="0" w:after="80"/>
        <w:jc w:val="center"/>
      </w:pPr>
      <w:r>
        <w:rPr>
          <w:rFonts w:ascii="Times New Roman" w:hAnsi="Times New Roman" w:eastAsia="Times New Roman"/>
          <w:b/>
          <w:color w:val="203864"/>
          <w:sz w:val="28"/>
        </w:rPr>
        <w:t>EXHIBIT C - NOTICE OF CANCELLATION</w:t>
      </w:r>
    </w:p>
    <w:p>
      <w:pPr>
        <w:spacing w:after="160"/>
        <w:jc w:val="center"/>
      </w:pPr>
      <w:r>
        <w:rPr>
          <w:rFonts w:ascii="Times New Roman" w:hAnsi="Times New Roman" w:eastAsia="Times New Roman"/>
          <w:b/>
          <w:color w:val="4A4A4A"/>
          <w:sz w:val="21"/>
        </w:rPr>
        <w:t>COPY 1 OF 2 - EACH CLIENT RECEIVES</w:t>
      </w:r>
    </w:p>
    <w:tbl>
      <w:tblPr>
        <w:tblW w:type="dxa" w:w="10080"/>
        <w:jc w:val="left"/>
        <w:tblLayout w:type="fixed"/>
        <w:tblLook w:firstColumn="1" w:firstRow="1" w:lastColumn="0" w:lastRow="0" w:noHBand="0" w:noVBand="1" w:val="04A0"/>
        <w:tblInd w:type="dxa" w:w="150"/>
      </w:tblPr>
      <w:tblGrid>
        <w:gridCol w:w="10080"/>
      </w:tblGrid>
      <w:tr>
        <w:trPr>
          <w:cantSplit/>
        </w:trPr>
        <w:tc>
          <w:tcPr>
            <w:tcW w:type="dxa" w:w="10080"/>
            <w:shd w:fill="FFF2CC" w:val="clear"/>
            <w:tcBorders>
              <w:top w:val="single" w:sz="10" w:space="0" w:color="BF9000"/>
              <w:left w:val="single" w:sz="10" w:space="0" w:color="BF9000"/>
              <w:bottom w:val="single" w:sz="10" w:space="0" w:color="BF9000"/>
              <w:right w:val="single" w:sz="10" w:space="0" w:color="BF9000"/>
              <w:insideH w:val="single" w:sz="10" w:space="0" w:color="BF9000"/>
              <w:insideV w:val="single" w:sz="10" w:space="0" w:color="BF9000"/>
            </w:tcBorders>
            <w:tcMar>
              <w:top w:w="110" w:type="dxa"/>
              <w:bottom w:w="110" w:type="dxa"/>
              <w:start w:w="150" w:type="dxa"/>
              <w:end w:w="150" w:type="dxa"/>
            </w:tcMar>
          </w:tcPr>
          <w:p>
            <w:pPr>
              <w:spacing w:after="40"/>
            </w:pPr>
            <w:r>
              <w:rPr>
                <w:rFonts w:ascii="Times New Roman" w:hAnsi="Times New Roman" w:eastAsia="Times New Roman"/>
                <w:b/>
                <w:color w:val="203864"/>
                <w:sz w:val="21"/>
              </w:rPr>
              <w:t>COMPLETE BEFORE CLIENT SIGNS</w:t>
            </w:r>
          </w:p>
          <w:p>
            <w:pPr>
              <w:pStyle w:val="AgreementBody"/>
              <w:spacing w:after="0"/>
            </w:pPr>
            <w:r>
              <w:rPr>
                <w:rFonts w:ascii="Times New Roman" w:hAnsi="Times New Roman" w:eastAsia="Times New Roman"/>
                <w:b/>
                <w:color w:val="000000"/>
                <w:sz w:val="19"/>
              </w:rPr>
              <w:t>Populate the Transaction Date and Cancellation Deadline before signature. Provide each Client two completed copies; if a Client signs later, reissue both using the later date and deadline.</w:t>
            </w:r>
          </w:p>
        </w:tc>
      </w:tr>
    </w:tbl>
    <w:p>
      <w:pPr>
        <w:spacing w:after="20" w:before="0"/>
      </w:pPr>
    </w:p>
    <w:p>
      <w:pPr>
        <w:spacing w:after="100"/>
      </w:pPr>
      <w:r>
        <w:rPr>
          <w:rFonts w:ascii="Times New Roman" w:hAnsi="Times New Roman" w:eastAsia="Times New Roman"/>
          <w:b/>
          <w:color w:val="000000"/>
          <w:sz w:val="20"/>
        </w:rPr>
        <w:t xml:space="preserve">Transaction Date: </w:t>
      </w:r>
      <w:r>
        <w:rPr>
          <w:rFonts w:ascii="Times New Roman" w:hAnsi="Times New Roman" w:eastAsia="Times New Roman"/>
          <w:b/>
          <w:color w:val="000000"/>
          <w:sz w:val="20"/>
          <w:shd w:val="clear" w:fill="FFF2CC"/>
        </w:rPr>
        <w:t>[JOBTREAD: TRANSACTION DATE]</w:t>
      </w:r>
    </w:p>
    <w:p>
      <w:pPr>
        <w:spacing w:after="60" w:line="245" w:lineRule="auto"/>
      </w:pPr>
      <w:r>
        <w:rPr>
          <w:rFonts w:ascii="Times New Roman" w:hAnsi="Times New Roman" w:eastAsia="Times New Roman"/>
          <w:b/>
          <w:color w:val="000000"/>
          <w:sz w:val="20"/>
        </w:rPr>
        <w:t>You may CANCEL this transaction, without any Penalty or Obligation, within THREE BUSINESS DAYS from the above date.</w:t>
      </w:r>
    </w:p>
    <w:p>
      <w:pPr>
        <w:spacing w:after="60" w:line="245" w:lineRule="auto"/>
      </w:pPr>
      <w:r>
        <w:rPr>
          <w:rFonts w:ascii="Times New Roman" w:hAnsi="Times New Roman" w:eastAsia="Times New Roman"/>
          <w:b/>
          <w:color w:val="000000"/>
          <w:sz w:val="20"/>
        </w:rPr>
        <w:t>If you cancel, any property traded in, any payments made by you under the contract or sale, and any negotiable instrument executed by you will be returned within TEN BUSINESS DAYS following receipt by the seller of your cancellation notice, and any security interest arising out of the transaction will be cancelled.</w:t>
      </w:r>
    </w:p>
    <w:p>
      <w:pPr>
        <w:spacing w:after="60" w:line="245" w:lineRule="auto"/>
      </w:pPr>
      <w:r>
        <w:rPr>
          <w:rFonts w:ascii="Times New Roman" w:hAnsi="Times New Roman" w:eastAsia="Times New Roman"/>
          <w:b/>
          <w:color w:val="000000"/>
          <w:sz w:val="20"/>
        </w:rPr>
        <w:t>If you cancel, you must make available to the seller at your residence, in substantially as good condition as when received, any goods delivered to you under this contract or sale; or you may, if you wish, comply with the instructions of the seller regarding the return shipment of the goods at the seller's expense and risk.</w:t>
      </w:r>
    </w:p>
    <w:p>
      <w:pPr>
        <w:spacing w:after="60" w:line="245" w:lineRule="auto"/>
      </w:pPr>
      <w:r>
        <w:rPr>
          <w:rFonts w:ascii="Times New Roman" w:hAnsi="Times New Roman" w:eastAsia="Times New Roman"/>
          <w:b/>
          <w:color w:val="000000"/>
          <w:sz w:val="20"/>
        </w:rPr>
        <w:t>If you do make the goods available to the seller and the seller does not pick them up within 20 days of the date of your Notice of Cancellation, you may retain or dispose of the goods without any further obligation. If you fail to make the goods available to the seller, or if you agree to return the goods to the seller and fail to do so, then you remain liable for performance of all obligations under the contract.</w:t>
      </w:r>
    </w:p>
    <w:p>
      <w:pPr>
        <w:spacing w:after="60"/>
      </w:pPr>
      <w:r>
        <w:rPr>
          <w:rFonts w:ascii="Times New Roman" w:hAnsi="Times New Roman" w:eastAsia="Times New Roman"/>
          <w:b/>
          <w:color w:val="000000"/>
          <w:sz w:val="20"/>
        </w:rPr>
        <w:t xml:space="preserve">To cancel this transaction, mail or deliver a signed and dated copy of this Cancellation Notice or any other written notice, or send written notice by email, to MyGCnow Construction, 1700 Seventh Avenue, Suite 2100, PMB 874, Seattle, WA 98101; info@mygcnow.com, NOT LATER THAN MIDNIGHT OF </w:t>
      </w:r>
      <w:r>
        <w:rPr>
          <w:rFonts w:ascii="Times New Roman" w:hAnsi="Times New Roman" w:eastAsia="Times New Roman"/>
          <w:b/>
          <w:color w:val="000000"/>
          <w:sz w:val="20"/>
          <w:shd w:val="clear" w:fill="FFF2CC"/>
        </w:rPr>
        <w:t>[JOBTREAD: CANCELLATION DEADLINE]</w:t>
      </w:r>
      <w:r>
        <w:rPr>
          <w:rFonts w:ascii="Times New Roman" w:hAnsi="Times New Roman" w:eastAsia="Times New Roman"/>
          <w:b/>
          <w:color w:val="000000"/>
          <w:sz w:val="20"/>
        </w:rPr>
        <w:t>.</w:t>
      </w:r>
    </w:p>
    <w:p>
      <w:pPr>
        <w:spacing w:before="120" w:after="80"/>
      </w:pPr>
      <w:r>
        <w:rPr>
          <w:rFonts w:ascii="Times New Roman" w:hAnsi="Times New Roman" w:eastAsia="Times New Roman"/>
          <w:b/>
          <w:color w:val="000000"/>
          <w:sz w:val="21"/>
        </w:rPr>
        <w:t>I HEREBY CANCEL THIS TRANSACTION.</w:t>
      </w:r>
    </w:p>
    <w:tbl>
      <w:tblPr>
        <w:tblW w:type="dxa" w:w="10080"/>
        <w:jc w:val="left"/>
        <w:tblLayout w:type="fixed"/>
        <w:tblLook w:firstColumn="1" w:firstRow="1" w:lastColumn="0" w:lastRow="0" w:noHBand="0" w:noVBand="1" w:val="04A0"/>
        <w:tblInd w:type="dxa" w:w="100"/>
      </w:tblPr>
      <w:tblGrid>
        <w:gridCol w:w="4200"/>
        <w:gridCol w:w="5880"/>
      </w:tblGrid>
      <w:tr>
        <w:trPr/>
        <w:tc>
          <w:tcPr>
            <w:tcW w:type="dxa" w:w="4200"/>
            <w:vAlign w:val="bottom"/>
            <w:tcMar>
              <w:top w:w="80" w:type="dxa"/>
              <w:bottom w:w="80" w:type="dxa"/>
              <w:start w:w="100" w:type="dxa"/>
              <w:end w:w="100" w:type="dxa"/>
            </w:tcMar>
          </w:tcPr>
          <w:p>
            <w:pPr>
              <w:spacing w:before="160" w:after="0"/>
            </w:pPr>
            <w:r>
              <w:rPr>
                <w:rFonts w:ascii="Times New Roman" w:hAnsi="Times New Roman" w:eastAsia="Times New Roman"/>
                <w:sz w:val="18"/>
              </w:rPr>
              <w:t>________________________________________</w:t>
            </w:r>
          </w:p>
          <w:p>
            <w:pPr>
              <w:spacing w:after="0"/>
            </w:pPr>
            <w:r>
              <w:rPr>
                <w:rFonts w:ascii="Times New Roman" w:hAnsi="Times New Roman" w:eastAsia="Times New Roman"/>
                <w:b/>
                <w:color w:val="000000"/>
                <w:sz w:val="17"/>
              </w:rPr>
              <w:t>DATE</w:t>
            </w:r>
          </w:p>
        </w:tc>
        <w:tc>
          <w:tcPr>
            <w:tcW w:type="dxa" w:w="5880"/>
            <w:vAlign w:val="bottom"/>
            <w:tcMar>
              <w:top w:w="80" w:type="dxa"/>
              <w:bottom w:w="80" w:type="dxa"/>
              <w:start w:w="100" w:type="dxa"/>
              <w:end w:w="100" w:type="dxa"/>
            </w:tcMar>
          </w:tcPr>
          <w:p>
            <w:pPr>
              <w:spacing w:before="160" w:after="0"/>
            </w:pPr>
            <w:r>
              <w:rPr>
                <w:rFonts w:ascii="Times New Roman" w:hAnsi="Times New Roman" w:eastAsia="Times New Roman"/>
                <w:sz w:val="18"/>
              </w:rPr>
              <w:t>________________________________________</w:t>
            </w:r>
          </w:p>
          <w:p>
            <w:pPr>
              <w:spacing w:after="0"/>
            </w:pPr>
            <w:r>
              <w:rPr>
                <w:rFonts w:ascii="Times New Roman" w:hAnsi="Times New Roman" w:eastAsia="Times New Roman"/>
                <w:b/>
                <w:color w:val="000000"/>
                <w:sz w:val="17"/>
              </w:rPr>
              <w:t>BUYER'S SIGNATURE</w:t>
            </w:r>
          </w:p>
        </w:tc>
      </w:tr>
    </w:tbl>
    <w:p>
      <w:pPr>
        <w:pageBreakBefore/>
        <w:spacing w:before="0" w:after="80"/>
        <w:jc w:val="center"/>
      </w:pPr>
      <w:r>
        <w:rPr>
          <w:rFonts w:ascii="Times New Roman" w:hAnsi="Times New Roman" w:eastAsia="Times New Roman"/>
          <w:b/>
          <w:color w:val="203864"/>
          <w:sz w:val="28"/>
        </w:rPr>
        <w:t>EXHIBIT C - NOTICE OF CANCELLATION</w:t>
      </w:r>
    </w:p>
    <w:p>
      <w:pPr>
        <w:spacing w:after="160"/>
        <w:jc w:val="center"/>
      </w:pPr>
      <w:r>
        <w:rPr>
          <w:rFonts w:ascii="Times New Roman" w:hAnsi="Times New Roman" w:eastAsia="Times New Roman"/>
          <w:b/>
          <w:color w:val="4A4A4A"/>
          <w:sz w:val="21"/>
        </w:rPr>
        <w:t>COPY 2 OF 2 - EACH CLIENT RECEIVES</w:t>
      </w:r>
    </w:p>
    <w:tbl>
      <w:tblPr>
        <w:tblW w:type="dxa" w:w="10080"/>
        <w:jc w:val="left"/>
        <w:tblLayout w:type="fixed"/>
        <w:tblLook w:firstColumn="1" w:firstRow="1" w:lastColumn="0" w:lastRow="0" w:noHBand="0" w:noVBand="1" w:val="04A0"/>
        <w:tblInd w:type="dxa" w:w="150"/>
      </w:tblPr>
      <w:tblGrid>
        <w:gridCol w:w="10080"/>
      </w:tblGrid>
      <w:tr>
        <w:trPr>
          <w:cantSplit/>
        </w:trPr>
        <w:tc>
          <w:tcPr>
            <w:tcW w:type="dxa" w:w="10080"/>
            <w:shd w:fill="FFF2CC" w:val="clear"/>
            <w:tcBorders>
              <w:top w:val="single" w:sz="10" w:space="0" w:color="BF9000"/>
              <w:left w:val="single" w:sz="10" w:space="0" w:color="BF9000"/>
              <w:bottom w:val="single" w:sz="10" w:space="0" w:color="BF9000"/>
              <w:right w:val="single" w:sz="10" w:space="0" w:color="BF9000"/>
              <w:insideH w:val="single" w:sz="10" w:space="0" w:color="BF9000"/>
              <w:insideV w:val="single" w:sz="10" w:space="0" w:color="BF9000"/>
            </w:tcBorders>
            <w:tcMar>
              <w:top w:w="110" w:type="dxa"/>
              <w:bottom w:w="110" w:type="dxa"/>
              <w:start w:w="150" w:type="dxa"/>
              <w:end w:w="150" w:type="dxa"/>
            </w:tcMar>
          </w:tcPr>
          <w:p>
            <w:pPr>
              <w:spacing w:after="40"/>
            </w:pPr>
            <w:r>
              <w:rPr>
                <w:rFonts w:ascii="Times New Roman" w:hAnsi="Times New Roman" w:eastAsia="Times New Roman"/>
                <w:b/>
                <w:color w:val="203864"/>
                <w:sz w:val="21"/>
              </w:rPr>
              <w:t>COMPLETE BEFORE CLIENT SIGNS</w:t>
            </w:r>
          </w:p>
          <w:p>
            <w:pPr>
              <w:pStyle w:val="AgreementBody"/>
              <w:spacing w:after="0"/>
            </w:pPr>
            <w:r>
              <w:rPr>
                <w:rFonts w:ascii="Times New Roman" w:hAnsi="Times New Roman" w:eastAsia="Times New Roman"/>
                <w:b/>
                <w:color w:val="000000"/>
                <w:sz w:val="19"/>
              </w:rPr>
              <w:t>Populate the Transaction Date and Cancellation Deadline before signature. Provide each Client two completed copies; if a Client signs later, reissue both using the later date and deadline.</w:t>
            </w:r>
          </w:p>
        </w:tc>
      </w:tr>
    </w:tbl>
    <w:p>
      <w:pPr>
        <w:spacing w:after="20" w:before="0"/>
      </w:pPr>
    </w:p>
    <w:p>
      <w:pPr>
        <w:spacing w:after="100"/>
      </w:pPr>
      <w:r>
        <w:rPr>
          <w:rFonts w:ascii="Times New Roman" w:hAnsi="Times New Roman" w:eastAsia="Times New Roman"/>
          <w:b/>
          <w:color w:val="000000"/>
          <w:sz w:val="20"/>
        </w:rPr>
        <w:t xml:space="preserve">Transaction Date: </w:t>
      </w:r>
      <w:r>
        <w:rPr>
          <w:rFonts w:ascii="Times New Roman" w:hAnsi="Times New Roman" w:eastAsia="Times New Roman"/>
          <w:b/>
          <w:color w:val="000000"/>
          <w:sz w:val="20"/>
          <w:shd w:val="clear" w:fill="FFF2CC"/>
        </w:rPr>
        <w:t>[JOBTREAD: TRANSACTION DATE]</w:t>
      </w:r>
    </w:p>
    <w:p>
      <w:pPr>
        <w:spacing w:after="60" w:line="245" w:lineRule="auto"/>
      </w:pPr>
      <w:r>
        <w:rPr>
          <w:rFonts w:ascii="Times New Roman" w:hAnsi="Times New Roman" w:eastAsia="Times New Roman"/>
          <w:b/>
          <w:color w:val="000000"/>
          <w:sz w:val="20"/>
        </w:rPr>
        <w:t>You may CANCEL this transaction, without any Penalty or Obligation, within THREE BUSINESS DAYS from the above date.</w:t>
      </w:r>
    </w:p>
    <w:p>
      <w:pPr>
        <w:spacing w:after="60" w:line="245" w:lineRule="auto"/>
      </w:pPr>
      <w:r>
        <w:rPr>
          <w:rFonts w:ascii="Times New Roman" w:hAnsi="Times New Roman" w:eastAsia="Times New Roman"/>
          <w:b/>
          <w:color w:val="000000"/>
          <w:sz w:val="20"/>
        </w:rPr>
        <w:t>If you cancel, any property traded in, any payments made by you under the contract or sale, and any negotiable instrument executed by you will be returned within TEN BUSINESS DAYS following receipt by the seller of your cancellation notice, and any security interest arising out of the transaction will be cancelled.</w:t>
      </w:r>
    </w:p>
    <w:p>
      <w:pPr>
        <w:spacing w:after="60" w:line="245" w:lineRule="auto"/>
      </w:pPr>
      <w:r>
        <w:rPr>
          <w:rFonts w:ascii="Times New Roman" w:hAnsi="Times New Roman" w:eastAsia="Times New Roman"/>
          <w:b/>
          <w:color w:val="000000"/>
          <w:sz w:val="20"/>
        </w:rPr>
        <w:t>If you cancel, you must make available to the seller at your residence, in substantially as good condition as when received, any goods delivered to you under this contract or sale; or you may, if you wish, comply with the instructions of the seller regarding the return shipment of the goods at the seller's expense and risk.</w:t>
      </w:r>
    </w:p>
    <w:p>
      <w:pPr>
        <w:spacing w:after="60" w:line="245" w:lineRule="auto"/>
      </w:pPr>
      <w:r>
        <w:rPr>
          <w:rFonts w:ascii="Times New Roman" w:hAnsi="Times New Roman" w:eastAsia="Times New Roman"/>
          <w:b/>
          <w:color w:val="000000"/>
          <w:sz w:val="20"/>
        </w:rPr>
        <w:t>If you do make the goods available to the seller and the seller does not pick them up within 20 days of the date of your Notice of Cancellation, you may retain or dispose of the goods without any further obligation. If you fail to make the goods available to the seller, or if you agree to return the goods to the seller and fail to do so, then you remain liable for performance of all obligations under the contract.</w:t>
      </w:r>
    </w:p>
    <w:p>
      <w:pPr>
        <w:spacing w:after="60"/>
      </w:pPr>
      <w:r>
        <w:rPr>
          <w:rFonts w:ascii="Times New Roman" w:hAnsi="Times New Roman" w:eastAsia="Times New Roman"/>
          <w:b/>
          <w:color w:val="000000"/>
          <w:sz w:val="20"/>
        </w:rPr>
        <w:t xml:space="preserve">To cancel this transaction, mail or deliver a signed and dated copy of this Cancellation Notice or any other written notice, or send written notice by email, to MyGCnow Construction, 1700 Seventh Avenue, Suite 2100, PMB 874, Seattle, WA 98101; info@mygcnow.com, NOT LATER THAN MIDNIGHT OF </w:t>
      </w:r>
      <w:r>
        <w:rPr>
          <w:rFonts w:ascii="Times New Roman" w:hAnsi="Times New Roman" w:eastAsia="Times New Roman"/>
          <w:b/>
          <w:color w:val="000000"/>
          <w:sz w:val="20"/>
          <w:shd w:val="clear" w:fill="FFF2CC"/>
        </w:rPr>
        <w:t>[JOBTREAD: CANCELLATION DEADLINE]</w:t>
      </w:r>
      <w:r>
        <w:rPr>
          <w:rFonts w:ascii="Times New Roman" w:hAnsi="Times New Roman" w:eastAsia="Times New Roman"/>
          <w:b/>
          <w:color w:val="000000"/>
          <w:sz w:val="20"/>
        </w:rPr>
        <w:t>.</w:t>
      </w:r>
    </w:p>
    <w:p>
      <w:pPr>
        <w:spacing w:before="120" w:after="80"/>
      </w:pPr>
      <w:r>
        <w:rPr>
          <w:rFonts w:ascii="Times New Roman" w:hAnsi="Times New Roman" w:eastAsia="Times New Roman"/>
          <w:b/>
          <w:color w:val="000000"/>
          <w:sz w:val="21"/>
        </w:rPr>
        <w:t>I HEREBY CANCEL THIS TRANSACTION.</w:t>
      </w:r>
    </w:p>
    <w:tbl>
      <w:tblPr>
        <w:tblW w:type="dxa" w:w="10080"/>
        <w:jc w:val="left"/>
        <w:tblLayout w:type="fixed"/>
        <w:tblLook w:firstColumn="1" w:firstRow="1" w:lastColumn="0" w:lastRow="0" w:noHBand="0" w:noVBand="1" w:val="04A0"/>
        <w:tblInd w:type="dxa" w:w="100"/>
      </w:tblPr>
      <w:tblGrid>
        <w:gridCol w:w="4200"/>
        <w:gridCol w:w="5880"/>
      </w:tblGrid>
      <w:tr>
        <w:trPr/>
        <w:tc>
          <w:tcPr>
            <w:tcW w:type="dxa" w:w="4200"/>
            <w:vAlign w:val="bottom"/>
            <w:tcMar>
              <w:top w:w="80" w:type="dxa"/>
              <w:bottom w:w="80" w:type="dxa"/>
              <w:start w:w="100" w:type="dxa"/>
              <w:end w:w="100" w:type="dxa"/>
            </w:tcMar>
          </w:tcPr>
          <w:p>
            <w:pPr>
              <w:spacing w:before="160" w:after="0"/>
            </w:pPr>
            <w:r>
              <w:rPr>
                <w:rFonts w:ascii="Times New Roman" w:hAnsi="Times New Roman" w:eastAsia="Times New Roman"/>
                <w:sz w:val="18"/>
              </w:rPr>
              <w:t>________________________________________</w:t>
            </w:r>
          </w:p>
          <w:p>
            <w:pPr>
              <w:spacing w:after="0"/>
            </w:pPr>
            <w:r>
              <w:rPr>
                <w:rFonts w:ascii="Times New Roman" w:hAnsi="Times New Roman" w:eastAsia="Times New Roman"/>
                <w:b/>
                <w:color w:val="000000"/>
                <w:sz w:val="17"/>
              </w:rPr>
              <w:t>DATE</w:t>
            </w:r>
          </w:p>
        </w:tc>
        <w:tc>
          <w:tcPr>
            <w:tcW w:type="dxa" w:w="5880"/>
            <w:vAlign w:val="bottom"/>
            <w:tcMar>
              <w:top w:w="80" w:type="dxa"/>
              <w:bottom w:w="80" w:type="dxa"/>
              <w:start w:w="100" w:type="dxa"/>
              <w:end w:w="100" w:type="dxa"/>
            </w:tcMar>
          </w:tcPr>
          <w:p>
            <w:pPr>
              <w:spacing w:before="160" w:after="0"/>
            </w:pPr>
            <w:r>
              <w:rPr>
                <w:rFonts w:ascii="Times New Roman" w:hAnsi="Times New Roman" w:eastAsia="Times New Roman"/>
                <w:sz w:val="18"/>
              </w:rPr>
              <w:t>________________________________________</w:t>
            </w:r>
          </w:p>
          <w:p>
            <w:pPr>
              <w:spacing w:after="0"/>
            </w:pPr>
            <w:r>
              <w:rPr>
                <w:rFonts w:ascii="Times New Roman" w:hAnsi="Times New Roman" w:eastAsia="Times New Roman"/>
                <w:b/>
                <w:color w:val="000000"/>
                <w:sz w:val="17"/>
              </w:rPr>
              <w:t>BUYER'S SIGNATURE</w:t>
            </w:r>
          </w:p>
        </w:tc>
      </w:tr>
    </w:tbl>
    <w:sectPr w:rsidR="00FC693F" w:rsidRPr="0006063C" w:rsidSect="00034616">
      <w:headerReference w:type="default" r:id="rId9"/>
      <w:footerReference w:type="default" r:id="rId10"/>
      <w:pgSz w:w="12240" w:h="15840"/>
      <w:pgMar w:top="979" w:right="1080" w:bottom="893"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Times New Roman" w:hAnsi="Times New Roman" w:eastAsia="Times New Roman"/>
        <w:color w:val="4A4A4A"/>
        <w:sz w:val="16"/>
      </w:rPr>
      <w:t xml:space="preserve">REVISED DRAFT FOR WASHINGTON COUNSEL REVIEW  |  Page </w:t>
    </w:r>
    <w:r>
      <w:rPr>
        <w:rFonts w:ascii="Times New Roman" w:hAnsi="Times New Roman" w:eastAsia="Times New Roman"/>
        <w:color w:val="4A4A4A"/>
        <w:sz w:val="17"/>
      </w:rPr>
      <w:fldChar w:fldCharType="begin"/>
      <w:instrText xml:space="preserve"> PAGE </w:instrText>
      <w:fldChar w:fldCharType="end"/>
    </w:r>
    <w:r>
      <w:rPr>
        <w:rFonts w:ascii="Times New Roman" w:hAnsi="Times New Roman" w:eastAsia="Times New Roman"/>
        <w:color w:val="4A4A4A"/>
        <w:sz w:val="16"/>
      </w:rPr>
      <w:t xml:space="preserve"> of </w:t>
    </w:r>
    <w:r>
      <w:rPr>
        <w:rFonts w:ascii="Times New Roman" w:hAnsi="Times New Roman" w:eastAsia="Times New Roman"/>
        <w:color w:val="4A4A4A"/>
        <w:sz w:val="17"/>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4" w:space="1" w:color="B7C9D6"/>
      </w:pBdr>
    </w:pPr>
    <w:r>
      <w:rPr>
        <w:rFonts w:ascii="Times New Roman" w:hAnsi="Times New Roman" w:eastAsia="Times New Roman"/>
        <w:color w:val="4A4A4A"/>
        <w:sz w:val="16"/>
      </w:rPr>
      <w:t>MyGCnow | Design-Build Project Development Agreement | Phase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600"/>
        </w:tabs>
        <w:ind w:left="600" w:hanging="480"/>
      </w:pPr>
      <w:rPr>
        <w:b w:val="1"/>
      </w:rPr>
    </w:lvl>
  </w:abstractNum>
  <w:num w:numId="10">
    <w:abstractNumId w:val="9"/>
  </w:num>
  <w:abstractNum w:abstractNumId="10">
    <w:multiLevelType w:val="singleLevel"/>
    <w:lvl w:ilvl="0">
      <w:start w:val="1"/>
      <w:numFmt w:val="lowerLetter"/>
      <w:lvlText w:val="(%1)"/>
      <w:suff w:val="tab"/>
      <w:pPr>
        <w:tabs>
          <w:tab w:val="num" w:pos="540"/>
        </w:tabs>
        <w:ind w:left="540" w:hanging="270"/>
      </w:pPr>
    </w:lvl>
  </w:abstractNum>
  <w:num w:numId="11">
    <w:abstractNumId w:val="10"/>
  </w:num>
  <w:abstractNum w:abstractNumId="11">
    <w:multiLevelType w:val="singleLevel"/>
    <w:lvl w:ilvl="0">
      <w:start w:val="1"/>
      <w:numFmt w:val="lowerLetter"/>
      <w:lvlText w:val="(%1)"/>
      <w:suff w:val="tab"/>
      <w:pPr>
        <w:tabs>
          <w:tab w:val="num" w:pos="540"/>
        </w:tabs>
        <w:ind w:left="540" w:hanging="270"/>
      </w:pPr>
    </w:lvl>
  </w:abstractNum>
  <w:num w:numId="12">
    <w:abstractNumId w:val="11"/>
  </w:num>
  <w:abstractNum w:abstractNumId="12">
    <w:multiLevelType w:val="singleLevel"/>
    <w:lvl w:ilvl="0">
      <w:start w:val="1"/>
      <w:numFmt w:val="lowerLetter"/>
      <w:lvlText w:val="(%1)"/>
      <w:suff w:val="tab"/>
      <w:pPr>
        <w:tabs>
          <w:tab w:val="num" w:pos="540"/>
        </w:tabs>
        <w:ind w:left="540" w:hanging="270"/>
      </w:pPr>
    </w:lvl>
  </w:abstractNum>
  <w:num w:numId="13">
    <w:abstractNumId w:val="12"/>
  </w:num>
  <w:abstractNum w:abstractNumId="13">
    <w:multiLevelType w:val="singleLevel"/>
    <w:lvl w:ilvl="0">
      <w:start w:val="1"/>
      <w:numFmt w:val="lowerLetter"/>
      <w:lvlText w:val="(%1)"/>
      <w:suff w:val="tab"/>
      <w:pPr>
        <w:tabs>
          <w:tab w:val="num" w:pos="540"/>
        </w:tabs>
        <w:ind w:left="540" w:hanging="270"/>
      </w:pPr>
    </w:lvl>
  </w:abstractNum>
  <w:num w:numId="14">
    <w:abstractNumId w:val="13"/>
  </w:num>
  <w:abstractNum w:abstractNumId="14">
    <w:multiLevelType w:val="singleLevel"/>
    <w:lvl w:ilvl="0">
      <w:start w:val="1"/>
      <w:numFmt w:val="lowerLetter"/>
      <w:lvlText w:val="(%1)"/>
      <w:suff w:val="tab"/>
      <w:pPr>
        <w:tabs>
          <w:tab w:val="num" w:pos="540"/>
        </w:tabs>
        <w:ind w:left="540" w:hanging="270"/>
      </w:pPr>
    </w:lvl>
  </w:abstract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greementBody">
    <w:name w:val="Agreement Body"/>
    <w:basedOn w:val="Normal"/>
    <w:pPr>
      <w:widowControl/>
      <w:spacing w:line="252" w:lineRule="auto" w:after="80"/>
    </w:pPr>
    <w:rPr>
      <w:rFonts w:ascii="Times New Roman" w:hAnsi="Times New Roman"/>
      <w:sz w:val="21"/>
    </w:rPr>
  </w:style>
  <w:style w:type="paragraph" w:customStyle="1" w:styleId="AgreementClause">
    <w:name w:val="Agreement Clause"/>
    <w:basedOn w:val="AgreementBody"/>
    <w:pPr>
      <w:widowControl/>
      <w:spacing w:line="247" w:lineRule="auto" w:after="60"/>
    </w:pPr>
    <w:rPr>
      <w:rFonts w:ascii="Times New Roman" w:hAnsi="Times New Roman"/>
      <w:sz w:val="20"/>
    </w:rPr>
  </w:style>
  <w:style w:type="paragraph" w:customStyle="1" w:styleId="AgreementSection">
    <w:name w:val="Agreement Section"/>
    <w:basedOn w:val="Normal"/>
    <w:pPr>
      <w:keepNext/>
      <w:widowControl/>
      <w:spacing w:before="160" w:after="60"/>
    </w:pPr>
    <w:rPr>
      <w:rFonts w:ascii="Times New Roman" w:hAnsi="Times New Roman"/>
      <w:b/>
      <w:color w:val="203864"/>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MyGCnow Design-Build Project Development Agreement - Phase 2</dc:title>
  <dc:subject>Residential design-build preconstruction and design services agreement</dc:subject>
  <dc:creator>MyGCnow Construction</dc:creator>
  <cp:keywords>design-build, preconstruction, project development, consultation, Washington</cp:keywords>
  <dc:description>Revised draft prepared from Consulting Agreement HAB 2025 v.3 for Washington counsel review.</dc:description>
  <cp:lastModifiedBy/>
  <cp:revision>1</cp:revision>
  <dcterms:created xsi:type="dcterms:W3CDTF">2013-12-23T23:15:00Z</dcterms:created>
  <dcterms:modified xsi:type="dcterms:W3CDTF">2013-12-23T23:15:00Z</dcterms:modified>
  <cp:category/>
</cp:coreProperties>
</file>